
<file path=[Content_Types].xml><?xml version="1.0" encoding="utf-8"?>
<Types xmlns="http://schemas.openxmlformats.org/package/2006/content-types">
  <Default Extension="jpg" ContentType="image/jp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375A1" w14:textId="444A6237" w:rsidR="00404D45" w:rsidRPr="00D97CCD" w:rsidRDefault="00EC6A07" w:rsidP="001C7D7E">
      <w:pPr>
        <w:spacing w:after="240" w:line="360" w:lineRule="auto"/>
        <w:jc w:val="center"/>
        <w:textAlignment w:val="baseline"/>
        <w:rPr>
          <w:rFonts w:asciiTheme="minorHAnsi" w:eastAsia="Arial" w:hAnsiTheme="minorHAnsi" w:cstheme="minorHAnsi"/>
          <w:b/>
          <w:color w:val="000000"/>
          <w:sz w:val="28"/>
          <w:szCs w:val="28"/>
        </w:rPr>
      </w:pPr>
      <w:r>
        <w:rPr>
          <w:rFonts w:asciiTheme="minorHAnsi" w:eastAsia="Arial" w:hAnsiTheme="minorHAnsi" w:cstheme="minorHAnsi"/>
          <w:b/>
          <w:color w:val="000000"/>
          <w:sz w:val="28"/>
          <w:szCs w:val="28"/>
        </w:rPr>
        <w:t>How to do judicial review May 2026</w:t>
      </w:r>
    </w:p>
    <w:p w14:paraId="317BB7DE" w14:textId="77777777" w:rsidR="003245FD" w:rsidRPr="00D97CCD" w:rsidRDefault="003245FD" w:rsidP="001C7D7E">
      <w:pPr>
        <w:spacing w:after="240" w:line="360" w:lineRule="auto"/>
        <w:jc w:val="center"/>
        <w:textAlignment w:val="baseline"/>
        <w:rPr>
          <w:rFonts w:asciiTheme="minorHAnsi" w:eastAsia="Arial" w:hAnsiTheme="minorHAnsi" w:cstheme="minorHAnsi"/>
          <w:b/>
          <w:color w:val="000000"/>
          <w:sz w:val="28"/>
          <w:szCs w:val="28"/>
        </w:rPr>
      </w:pPr>
    </w:p>
    <w:p w14:paraId="6B67808E" w14:textId="2C96CB39" w:rsidR="008B55B9" w:rsidRPr="00D97CCD" w:rsidRDefault="000D2238" w:rsidP="00404D45">
      <w:pPr>
        <w:spacing w:after="240" w:line="360" w:lineRule="auto"/>
        <w:jc w:val="center"/>
        <w:textAlignment w:val="baseline"/>
        <w:rPr>
          <w:rFonts w:asciiTheme="minorHAnsi" w:hAnsiTheme="minorHAnsi" w:cstheme="minorHAnsi"/>
          <w:b/>
          <w:sz w:val="28"/>
          <w:szCs w:val="28"/>
          <w:lang w:eastAsia="en-GB"/>
        </w:rPr>
      </w:pPr>
      <w:r w:rsidRPr="00D97CCD">
        <w:rPr>
          <w:rFonts w:asciiTheme="minorHAnsi" w:hAnsiTheme="minorHAnsi" w:cstheme="minorHAnsi"/>
          <w:b/>
          <w:sz w:val="28"/>
          <w:szCs w:val="28"/>
          <w:lang w:eastAsia="en-GB"/>
        </w:rPr>
        <w:t xml:space="preserve">ACTING FOR DEFENDANTS IN </w:t>
      </w:r>
      <w:r w:rsidR="005A04BC" w:rsidRPr="00D97CCD">
        <w:rPr>
          <w:rFonts w:asciiTheme="minorHAnsi" w:hAnsiTheme="minorHAnsi" w:cstheme="minorHAnsi"/>
          <w:b/>
          <w:sz w:val="28"/>
          <w:szCs w:val="28"/>
          <w:lang w:eastAsia="en-GB"/>
        </w:rPr>
        <w:br/>
      </w:r>
      <w:r w:rsidRPr="00D97CCD">
        <w:rPr>
          <w:rFonts w:asciiTheme="minorHAnsi" w:hAnsiTheme="minorHAnsi" w:cstheme="minorHAnsi"/>
          <w:b/>
          <w:sz w:val="28"/>
          <w:szCs w:val="28"/>
          <w:lang w:eastAsia="en-GB"/>
        </w:rPr>
        <w:t>JUDICIAL REVIEW CLAIMS</w:t>
      </w:r>
      <w:r w:rsidR="00341C8C">
        <w:rPr>
          <w:rStyle w:val="FootnoteReference"/>
          <w:rFonts w:asciiTheme="minorHAnsi" w:hAnsiTheme="minorHAnsi" w:cstheme="minorHAnsi"/>
          <w:b/>
          <w:sz w:val="28"/>
          <w:szCs w:val="28"/>
          <w:lang w:eastAsia="en-GB"/>
        </w:rPr>
        <w:footnoteReference w:id="1"/>
      </w:r>
    </w:p>
    <w:p w14:paraId="0895AFFF" w14:textId="77777777" w:rsidR="003245FD" w:rsidRPr="00D97CCD" w:rsidRDefault="003245FD" w:rsidP="00404D45">
      <w:pPr>
        <w:spacing w:after="240" w:line="360" w:lineRule="auto"/>
        <w:jc w:val="center"/>
        <w:textAlignment w:val="baseline"/>
        <w:rPr>
          <w:rFonts w:asciiTheme="minorHAnsi" w:hAnsiTheme="minorHAnsi" w:cstheme="minorHAnsi"/>
        </w:rPr>
      </w:pPr>
    </w:p>
    <w:p w14:paraId="7CBBBE45" w14:textId="77777777" w:rsidR="000D2238" w:rsidRPr="00D97CCD" w:rsidRDefault="0032659B" w:rsidP="00CB4680">
      <w:pPr>
        <w:spacing w:after="240" w:line="360" w:lineRule="auto"/>
        <w:ind w:firstLine="720"/>
        <w:jc w:val="both"/>
        <w:rPr>
          <w:rFonts w:asciiTheme="minorHAnsi" w:hAnsiTheme="minorHAnsi" w:cstheme="minorHAnsi"/>
          <w:b/>
          <w:u w:val="single"/>
        </w:rPr>
      </w:pPr>
      <w:r w:rsidRPr="00D97CCD">
        <w:rPr>
          <w:rFonts w:asciiTheme="minorHAnsi" w:hAnsiTheme="minorHAnsi" w:cstheme="minorHAnsi"/>
          <w:b/>
          <w:u w:val="single"/>
        </w:rPr>
        <w:t>INTRODUCTION</w:t>
      </w:r>
    </w:p>
    <w:p w14:paraId="497F527B" w14:textId="773D5637" w:rsidR="005259E5" w:rsidRPr="00D97CCD" w:rsidRDefault="00CE1D95" w:rsidP="001C7D7E">
      <w:pPr>
        <w:numPr>
          <w:ilvl w:val="0"/>
          <w:numId w:val="8"/>
        </w:numPr>
        <w:spacing w:after="240" w:line="360" w:lineRule="auto"/>
        <w:ind w:left="720" w:hanging="720"/>
        <w:jc w:val="both"/>
        <w:rPr>
          <w:rFonts w:asciiTheme="minorHAnsi" w:hAnsiTheme="minorHAnsi" w:cstheme="minorHAnsi"/>
        </w:rPr>
      </w:pPr>
      <w:r w:rsidRPr="00D97CCD">
        <w:rPr>
          <w:rFonts w:asciiTheme="minorHAnsi" w:hAnsiTheme="minorHAnsi" w:cstheme="minorHAnsi"/>
        </w:rPr>
        <w:t xml:space="preserve">This handout has been prepared by Counsel who regularly act for </w:t>
      </w:r>
      <w:r w:rsidR="00BB2631" w:rsidRPr="00D97CCD">
        <w:rPr>
          <w:rFonts w:asciiTheme="minorHAnsi" w:hAnsiTheme="minorHAnsi" w:cstheme="minorHAnsi"/>
        </w:rPr>
        <w:t>d</w:t>
      </w:r>
      <w:r w:rsidR="0032659B" w:rsidRPr="00D97CCD">
        <w:rPr>
          <w:rFonts w:asciiTheme="minorHAnsi" w:hAnsiTheme="minorHAnsi" w:cstheme="minorHAnsi"/>
        </w:rPr>
        <w:t xml:space="preserve">efendants and Interested Parties, </w:t>
      </w:r>
      <w:r w:rsidRPr="00D97CCD">
        <w:rPr>
          <w:rFonts w:asciiTheme="minorHAnsi" w:hAnsiTheme="minorHAnsi" w:cstheme="minorHAnsi"/>
        </w:rPr>
        <w:t xml:space="preserve">as well as for </w:t>
      </w:r>
      <w:r w:rsidR="00BB2631" w:rsidRPr="00D97CCD">
        <w:rPr>
          <w:rFonts w:asciiTheme="minorHAnsi" w:hAnsiTheme="minorHAnsi" w:cstheme="minorHAnsi"/>
        </w:rPr>
        <w:t>c</w:t>
      </w:r>
      <w:r w:rsidRPr="00D97CCD">
        <w:rPr>
          <w:rFonts w:asciiTheme="minorHAnsi" w:hAnsiTheme="minorHAnsi" w:cstheme="minorHAnsi"/>
        </w:rPr>
        <w:t xml:space="preserve">laimants, and who </w:t>
      </w:r>
      <w:r w:rsidR="0032659B" w:rsidRPr="00D97CCD">
        <w:rPr>
          <w:rFonts w:asciiTheme="minorHAnsi" w:hAnsiTheme="minorHAnsi" w:cstheme="minorHAnsi"/>
        </w:rPr>
        <w:t xml:space="preserve">have </w:t>
      </w:r>
      <w:r w:rsidRPr="00D97CCD">
        <w:rPr>
          <w:rFonts w:asciiTheme="minorHAnsi" w:hAnsiTheme="minorHAnsi" w:cstheme="minorHAnsi"/>
        </w:rPr>
        <w:t xml:space="preserve">therefore </w:t>
      </w:r>
      <w:r w:rsidR="0032659B" w:rsidRPr="00D97CCD">
        <w:rPr>
          <w:rFonts w:asciiTheme="minorHAnsi" w:hAnsiTheme="minorHAnsi" w:cstheme="minorHAnsi"/>
        </w:rPr>
        <w:t xml:space="preserve">seen judicial review claims from all sides. Given that most of the attendees for this session advocate primarily or exclusively on behalf of </w:t>
      </w:r>
      <w:r w:rsidR="00BB2631" w:rsidRPr="00D97CCD">
        <w:rPr>
          <w:rFonts w:asciiTheme="minorHAnsi" w:hAnsiTheme="minorHAnsi" w:cstheme="minorHAnsi"/>
        </w:rPr>
        <w:t>c</w:t>
      </w:r>
      <w:r w:rsidR="0032659B" w:rsidRPr="00D97CCD">
        <w:rPr>
          <w:rFonts w:asciiTheme="minorHAnsi" w:hAnsiTheme="minorHAnsi" w:cstheme="minorHAnsi"/>
        </w:rPr>
        <w:t xml:space="preserve">laimants, our aim is to help you understand how the process works from the </w:t>
      </w:r>
      <w:r w:rsidR="00BB2631" w:rsidRPr="00D97CCD">
        <w:rPr>
          <w:rFonts w:asciiTheme="minorHAnsi" w:hAnsiTheme="minorHAnsi" w:cstheme="minorHAnsi"/>
        </w:rPr>
        <w:t>d</w:t>
      </w:r>
      <w:r w:rsidR="0032659B" w:rsidRPr="00D97CCD">
        <w:rPr>
          <w:rFonts w:asciiTheme="minorHAnsi" w:hAnsiTheme="minorHAnsi" w:cstheme="minorHAnsi"/>
        </w:rPr>
        <w:t>efendant’s point of view. Our hope is that this will assist you to understand how you can best deploy your resources and arguments at each stage of the JR process.</w:t>
      </w:r>
    </w:p>
    <w:p w14:paraId="348C0470" w14:textId="519ED8EA" w:rsidR="005259E5" w:rsidRPr="00D97CCD" w:rsidRDefault="00375ECD" w:rsidP="00CB4680">
      <w:pPr>
        <w:spacing w:after="240" w:line="360" w:lineRule="auto"/>
        <w:ind w:firstLine="720"/>
        <w:jc w:val="both"/>
        <w:rPr>
          <w:rFonts w:asciiTheme="minorHAnsi" w:hAnsiTheme="minorHAnsi" w:cstheme="minorHAnsi"/>
          <w:b/>
          <w:u w:val="single"/>
        </w:rPr>
      </w:pPr>
      <w:r w:rsidRPr="00D97CCD">
        <w:rPr>
          <w:rFonts w:asciiTheme="minorHAnsi" w:hAnsiTheme="minorHAnsi" w:cstheme="minorHAnsi"/>
          <w:b/>
          <w:u w:val="single"/>
        </w:rPr>
        <w:t>THE R</w:t>
      </w:r>
      <w:r w:rsidR="005259E5" w:rsidRPr="00D97CCD">
        <w:rPr>
          <w:rFonts w:asciiTheme="minorHAnsi" w:hAnsiTheme="minorHAnsi" w:cstheme="minorHAnsi"/>
          <w:b/>
          <w:u w:val="single"/>
        </w:rPr>
        <w:t xml:space="preserve">OLE OF LEGAL ADVICE IN </w:t>
      </w:r>
      <w:r w:rsidR="004B60BE" w:rsidRPr="00D97CCD">
        <w:rPr>
          <w:rFonts w:asciiTheme="minorHAnsi" w:hAnsiTheme="minorHAnsi" w:cstheme="minorHAnsi"/>
          <w:b/>
          <w:u w:val="single"/>
        </w:rPr>
        <w:t>DEFENDANT</w:t>
      </w:r>
      <w:r w:rsidR="005259E5" w:rsidRPr="00D97CCD">
        <w:rPr>
          <w:rFonts w:asciiTheme="minorHAnsi" w:hAnsiTheme="minorHAnsi" w:cstheme="minorHAnsi"/>
          <w:b/>
          <w:u w:val="single"/>
        </w:rPr>
        <w:t xml:space="preserve"> DECISION MAKING</w:t>
      </w:r>
    </w:p>
    <w:p w14:paraId="7A9308A9" w14:textId="77777777" w:rsidR="00092779" w:rsidRPr="00D97CCD" w:rsidRDefault="00092779" w:rsidP="00CB4680">
      <w:pPr>
        <w:spacing w:after="240" w:line="360" w:lineRule="auto"/>
        <w:ind w:firstLine="720"/>
        <w:jc w:val="both"/>
        <w:rPr>
          <w:rFonts w:asciiTheme="minorHAnsi" w:hAnsiTheme="minorHAnsi" w:cstheme="minorHAnsi"/>
          <w:b/>
        </w:rPr>
      </w:pPr>
      <w:r w:rsidRPr="00D97CCD">
        <w:rPr>
          <w:rFonts w:asciiTheme="minorHAnsi" w:hAnsiTheme="minorHAnsi" w:cstheme="minorHAnsi"/>
          <w:b/>
        </w:rPr>
        <w:t>Legal advice and legal risk</w:t>
      </w:r>
    </w:p>
    <w:p w14:paraId="75C042A3" w14:textId="7D76C1E8" w:rsidR="003B7238" w:rsidRPr="00D97CCD" w:rsidRDefault="003B7238" w:rsidP="001C7D7E">
      <w:pPr>
        <w:numPr>
          <w:ilvl w:val="0"/>
          <w:numId w:val="8"/>
        </w:numPr>
        <w:spacing w:after="240" w:line="360" w:lineRule="auto"/>
        <w:ind w:left="720" w:hanging="720"/>
        <w:jc w:val="both"/>
        <w:rPr>
          <w:rFonts w:asciiTheme="minorHAnsi" w:hAnsiTheme="minorHAnsi" w:cstheme="minorHAnsi"/>
        </w:rPr>
      </w:pPr>
      <w:r w:rsidRPr="00D97CCD">
        <w:rPr>
          <w:rFonts w:asciiTheme="minorHAnsi" w:hAnsiTheme="minorHAnsi" w:cstheme="minorHAnsi"/>
        </w:rPr>
        <w:t xml:space="preserve">The extent to which a decision taken by a public authority that is subsequently </w:t>
      </w:r>
      <w:r w:rsidR="00104386" w:rsidRPr="00D97CCD">
        <w:rPr>
          <w:rFonts w:asciiTheme="minorHAnsi" w:hAnsiTheme="minorHAnsi" w:cstheme="minorHAnsi"/>
        </w:rPr>
        <w:t xml:space="preserve">the threat or target of an application for judicial review will </w:t>
      </w:r>
      <w:r w:rsidR="000873E7" w:rsidRPr="00D97CCD">
        <w:rPr>
          <w:rFonts w:asciiTheme="minorHAnsi" w:hAnsiTheme="minorHAnsi" w:cstheme="minorHAnsi"/>
        </w:rPr>
        <w:t>have been the subject of prior legal advice varies substantially</w:t>
      </w:r>
      <w:r w:rsidR="00104386" w:rsidRPr="00D97CCD">
        <w:rPr>
          <w:rFonts w:asciiTheme="minorHAnsi" w:hAnsiTheme="minorHAnsi" w:cstheme="minorHAnsi"/>
        </w:rPr>
        <w:t>. The position will depend on the identity of the decision</w:t>
      </w:r>
      <w:r w:rsidR="00532314" w:rsidRPr="00D97CCD">
        <w:rPr>
          <w:rFonts w:asciiTheme="minorHAnsi" w:hAnsiTheme="minorHAnsi" w:cstheme="minorHAnsi"/>
        </w:rPr>
        <w:t>-</w:t>
      </w:r>
      <w:r w:rsidR="00104386" w:rsidRPr="00D97CCD">
        <w:rPr>
          <w:rFonts w:asciiTheme="minorHAnsi" w:hAnsiTheme="minorHAnsi" w:cstheme="minorHAnsi"/>
        </w:rPr>
        <w:t>maker and the nature of the decision. Headline or “big ticket” policy decisions taken by central Government may well be the subject of detailed legal advice from the Government Legal Department (“</w:t>
      </w:r>
      <w:r w:rsidR="00104386" w:rsidRPr="00D97CCD">
        <w:rPr>
          <w:rFonts w:asciiTheme="minorHAnsi" w:hAnsiTheme="minorHAnsi" w:cstheme="minorHAnsi"/>
          <w:b/>
        </w:rPr>
        <w:t>GLD</w:t>
      </w:r>
      <w:r w:rsidR="00104386" w:rsidRPr="00D97CCD">
        <w:rPr>
          <w:rFonts w:asciiTheme="minorHAnsi" w:hAnsiTheme="minorHAnsi" w:cstheme="minorHAnsi"/>
        </w:rPr>
        <w:t>”) (and, sometimes, external counsel)</w:t>
      </w:r>
      <w:r w:rsidR="000873E7" w:rsidRPr="00D97CCD">
        <w:rPr>
          <w:rFonts w:asciiTheme="minorHAnsi" w:hAnsiTheme="minorHAnsi" w:cstheme="minorHAnsi"/>
        </w:rPr>
        <w:t xml:space="preserve"> before they are adopted</w:t>
      </w:r>
      <w:r w:rsidR="00104386" w:rsidRPr="00D97CCD">
        <w:rPr>
          <w:rFonts w:asciiTheme="minorHAnsi" w:hAnsiTheme="minorHAnsi" w:cstheme="minorHAnsi"/>
        </w:rPr>
        <w:t xml:space="preserve">. That is less likely to be true of individual decisions taken by local authorities, for example. </w:t>
      </w:r>
      <w:r w:rsidR="000873E7" w:rsidRPr="00D97CCD">
        <w:rPr>
          <w:rFonts w:asciiTheme="minorHAnsi" w:hAnsiTheme="minorHAnsi" w:cstheme="minorHAnsi"/>
        </w:rPr>
        <w:t>Depending on your case, therefore,</w:t>
      </w:r>
      <w:r w:rsidR="00092779" w:rsidRPr="00D97CCD">
        <w:rPr>
          <w:rFonts w:asciiTheme="minorHAnsi" w:hAnsiTheme="minorHAnsi" w:cstheme="minorHAnsi"/>
        </w:rPr>
        <w:t xml:space="preserve"> it may well be that </w:t>
      </w:r>
      <w:r w:rsidR="000873E7" w:rsidRPr="00D97CCD">
        <w:rPr>
          <w:rFonts w:asciiTheme="minorHAnsi" w:hAnsiTheme="minorHAnsi" w:cstheme="minorHAnsi"/>
        </w:rPr>
        <w:t xml:space="preserve">the first time a lawyer becomes involved is </w:t>
      </w:r>
      <w:r w:rsidR="0087101C" w:rsidRPr="00D97CCD">
        <w:rPr>
          <w:rFonts w:asciiTheme="minorHAnsi" w:hAnsiTheme="minorHAnsi" w:cstheme="minorHAnsi"/>
        </w:rPr>
        <w:t xml:space="preserve">following the authority’s </w:t>
      </w:r>
      <w:r w:rsidR="000873E7" w:rsidRPr="00D97CCD">
        <w:rPr>
          <w:rFonts w:asciiTheme="minorHAnsi" w:hAnsiTheme="minorHAnsi" w:cstheme="minorHAnsi"/>
        </w:rPr>
        <w:t xml:space="preserve">receipt of </w:t>
      </w:r>
      <w:r w:rsidR="004E20A5" w:rsidRPr="00D97CCD">
        <w:rPr>
          <w:rFonts w:asciiTheme="minorHAnsi" w:hAnsiTheme="minorHAnsi" w:cstheme="minorHAnsi"/>
        </w:rPr>
        <w:t xml:space="preserve">your </w:t>
      </w:r>
      <w:r w:rsidR="000873E7" w:rsidRPr="00D97CCD">
        <w:rPr>
          <w:rFonts w:asciiTheme="minorHAnsi" w:hAnsiTheme="minorHAnsi" w:cstheme="minorHAnsi"/>
        </w:rPr>
        <w:t xml:space="preserve">pre-action letter. That is an important consideration, which we return to below. </w:t>
      </w:r>
    </w:p>
    <w:p w14:paraId="6BC9622B" w14:textId="47EFA6AE" w:rsidR="000873E7" w:rsidRPr="00D97CCD" w:rsidRDefault="000873E7" w:rsidP="001C7D7E">
      <w:pPr>
        <w:numPr>
          <w:ilvl w:val="0"/>
          <w:numId w:val="8"/>
        </w:numPr>
        <w:spacing w:after="240" w:line="360" w:lineRule="auto"/>
        <w:ind w:left="720" w:hanging="720"/>
        <w:jc w:val="both"/>
        <w:rPr>
          <w:rFonts w:asciiTheme="minorHAnsi" w:hAnsiTheme="minorHAnsi" w:cstheme="minorHAnsi"/>
        </w:rPr>
      </w:pPr>
      <w:r w:rsidRPr="00D97CCD">
        <w:rPr>
          <w:rFonts w:asciiTheme="minorHAnsi" w:hAnsiTheme="minorHAnsi" w:cstheme="minorHAnsi"/>
        </w:rPr>
        <w:lastRenderedPageBreak/>
        <w:t xml:space="preserve">It is also important to understand (and bear in mind, throughout the life of a JR) how </w:t>
      </w:r>
      <w:r w:rsidR="004E20A5" w:rsidRPr="00D97CCD">
        <w:rPr>
          <w:rFonts w:asciiTheme="minorHAnsi" w:hAnsiTheme="minorHAnsi" w:cstheme="minorHAnsi"/>
        </w:rPr>
        <w:t>public authorities</w:t>
      </w:r>
      <w:r w:rsidRPr="00D97CCD">
        <w:rPr>
          <w:rFonts w:asciiTheme="minorHAnsi" w:hAnsiTheme="minorHAnsi" w:cstheme="minorHAnsi"/>
        </w:rPr>
        <w:t xml:space="preserve"> use legal advice internally and how </w:t>
      </w:r>
      <w:r w:rsidR="004E20A5" w:rsidRPr="00D97CCD">
        <w:rPr>
          <w:rFonts w:asciiTheme="minorHAnsi" w:hAnsiTheme="minorHAnsi" w:cstheme="minorHAnsi"/>
        </w:rPr>
        <w:t>they</w:t>
      </w:r>
      <w:r w:rsidRPr="00D97CCD">
        <w:rPr>
          <w:rFonts w:asciiTheme="minorHAnsi" w:hAnsiTheme="minorHAnsi" w:cstheme="minorHAnsi"/>
        </w:rPr>
        <w:t xml:space="preserve"> assess legal risk.</w:t>
      </w:r>
    </w:p>
    <w:p w14:paraId="27C80EAC" w14:textId="213CBA0D" w:rsidR="000D2238" w:rsidRPr="00D97CCD" w:rsidRDefault="004E20A5" w:rsidP="001C7D7E">
      <w:pPr>
        <w:numPr>
          <w:ilvl w:val="0"/>
          <w:numId w:val="8"/>
        </w:numPr>
        <w:spacing w:after="240" w:line="360" w:lineRule="auto"/>
        <w:ind w:left="720" w:hanging="720"/>
        <w:jc w:val="both"/>
        <w:rPr>
          <w:rFonts w:asciiTheme="minorHAnsi" w:hAnsiTheme="minorHAnsi" w:cstheme="minorHAnsi"/>
        </w:rPr>
      </w:pPr>
      <w:r w:rsidRPr="00D97CCD">
        <w:rPr>
          <w:rFonts w:asciiTheme="minorHAnsi" w:hAnsiTheme="minorHAnsi" w:cstheme="minorHAnsi"/>
        </w:rPr>
        <w:t xml:space="preserve">In the case of Central Government </w:t>
      </w:r>
      <w:r w:rsidR="00B9115E" w:rsidRPr="00D97CCD">
        <w:rPr>
          <w:rFonts w:asciiTheme="minorHAnsi" w:hAnsiTheme="minorHAnsi" w:cstheme="minorHAnsi"/>
        </w:rPr>
        <w:t xml:space="preserve">Departments and their executive agencies, </w:t>
      </w:r>
      <w:r w:rsidR="00D818A9" w:rsidRPr="00D97CCD">
        <w:rPr>
          <w:rFonts w:asciiTheme="minorHAnsi" w:hAnsiTheme="minorHAnsi" w:cstheme="minorHAnsi"/>
        </w:rPr>
        <w:t xml:space="preserve">the approach to be taken by lawyers when providing legal advice, including where court proceedings are threatened or in progress, </w:t>
      </w:r>
      <w:r w:rsidR="003C243E" w:rsidRPr="00D97CCD">
        <w:rPr>
          <w:rFonts w:asciiTheme="minorHAnsi" w:hAnsiTheme="minorHAnsi" w:cstheme="minorHAnsi"/>
        </w:rPr>
        <w:t xml:space="preserve">is the approach set out </w:t>
      </w:r>
      <w:r w:rsidR="008D5598" w:rsidRPr="00D97CCD">
        <w:rPr>
          <w:rFonts w:asciiTheme="minorHAnsi" w:hAnsiTheme="minorHAnsi" w:cstheme="minorHAnsi"/>
        </w:rPr>
        <w:t xml:space="preserve">by the Attorney General </w:t>
      </w:r>
      <w:r w:rsidR="003C243E" w:rsidRPr="00D97CCD">
        <w:rPr>
          <w:rFonts w:asciiTheme="minorHAnsi" w:hAnsiTheme="minorHAnsi" w:cstheme="minorHAnsi"/>
        </w:rPr>
        <w:t xml:space="preserve">in </w:t>
      </w:r>
      <w:r w:rsidR="004B60BE" w:rsidRPr="00D97CCD">
        <w:rPr>
          <w:rFonts w:asciiTheme="minorHAnsi" w:hAnsiTheme="minorHAnsi" w:cstheme="minorHAnsi"/>
        </w:rPr>
        <w:t>published guidance</w:t>
      </w:r>
      <w:r w:rsidR="008D5598" w:rsidRPr="00D97CCD">
        <w:rPr>
          <w:rFonts w:asciiTheme="minorHAnsi" w:hAnsiTheme="minorHAnsi" w:cstheme="minorHAnsi"/>
        </w:rPr>
        <w:t xml:space="preserve"> (the “</w:t>
      </w:r>
      <w:r w:rsidR="00F54710" w:rsidRPr="00D97CCD">
        <w:rPr>
          <w:rFonts w:asciiTheme="minorHAnsi" w:hAnsiTheme="minorHAnsi" w:cstheme="minorHAnsi"/>
          <w:b/>
          <w:bCs/>
        </w:rPr>
        <w:t>AG’s Guidance</w:t>
      </w:r>
      <w:r w:rsidR="00F54710" w:rsidRPr="00D97CCD">
        <w:rPr>
          <w:rFonts w:asciiTheme="minorHAnsi" w:hAnsiTheme="minorHAnsi" w:cstheme="minorHAnsi"/>
        </w:rPr>
        <w:t>”)</w:t>
      </w:r>
      <w:r w:rsidR="004B60BE" w:rsidRPr="00D97CCD">
        <w:rPr>
          <w:rFonts w:asciiTheme="minorHAnsi" w:hAnsiTheme="minorHAnsi" w:cstheme="minorHAnsi"/>
        </w:rPr>
        <w:t>.</w:t>
      </w:r>
      <w:r w:rsidR="004B60BE" w:rsidRPr="00D97CCD">
        <w:rPr>
          <w:rStyle w:val="FootnoteReference"/>
          <w:rFonts w:asciiTheme="minorHAnsi" w:hAnsiTheme="minorHAnsi" w:cstheme="minorHAnsi"/>
        </w:rPr>
        <w:footnoteReference w:id="2"/>
      </w:r>
      <w:r w:rsidR="004B60BE" w:rsidRPr="00D97CCD">
        <w:rPr>
          <w:rFonts w:asciiTheme="minorHAnsi" w:hAnsiTheme="minorHAnsi" w:cstheme="minorHAnsi"/>
        </w:rPr>
        <w:t xml:space="preserve"> </w:t>
      </w:r>
      <w:r w:rsidR="00F54710" w:rsidRPr="00D97CCD">
        <w:rPr>
          <w:rFonts w:asciiTheme="minorHAnsi" w:hAnsiTheme="minorHAnsi" w:cstheme="minorHAnsi"/>
        </w:rPr>
        <w:t>The AG’s Guidance</w:t>
      </w:r>
      <w:r w:rsidR="004B60BE" w:rsidRPr="00D97CCD">
        <w:rPr>
          <w:rFonts w:asciiTheme="minorHAnsi" w:hAnsiTheme="minorHAnsi" w:cstheme="minorHAnsi"/>
        </w:rPr>
        <w:t xml:space="preserve"> defines legal risk </w:t>
      </w:r>
      <w:r w:rsidR="000D28AD" w:rsidRPr="00D97CCD">
        <w:rPr>
          <w:rFonts w:asciiTheme="minorHAnsi" w:hAnsiTheme="minorHAnsi" w:cstheme="minorHAnsi"/>
        </w:rPr>
        <w:t>as meaning “</w:t>
      </w:r>
      <w:r w:rsidR="000D28AD" w:rsidRPr="00D97CCD">
        <w:rPr>
          <w:rFonts w:asciiTheme="minorHAnsi" w:hAnsiTheme="minorHAnsi" w:cstheme="minorHAnsi"/>
          <w:i/>
          <w:iCs/>
        </w:rPr>
        <w:t>the risk that a decision or act is unlawful under domestic or international law</w:t>
      </w:r>
      <w:r w:rsidR="000D28AD" w:rsidRPr="00D97CCD">
        <w:rPr>
          <w:rFonts w:asciiTheme="minorHAnsi" w:hAnsiTheme="minorHAnsi" w:cstheme="minorHAnsi"/>
        </w:rPr>
        <w:t>”.</w:t>
      </w:r>
      <w:r w:rsidR="004B60BE" w:rsidRPr="00D97CCD">
        <w:rPr>
          <w:rFonts w:asciiTheme="minorHAnsi" w:hAnsiTheme="minorHAnsi" w:cstheme="minorHAnsi"/>
        </w:rPr>
        <w:t xml:space="preserve"> </w:t>
      </w:r>
    </w:p>
    <w:p w14:paraId="12843443" w14:textId="77777777" w:rsidR="004B60BE" w:rsidRPr="00D97CCD" w:rsidRDefault="004B60BE" w:rsidP="001C7D7E">
      <w:pPr>
        <w:numPr>
          <w:ilvl w:val="0"/>
          <w:numId w:val="8"/>
        </w:numPr>
        <w:spacing w:after="240" w:line="360" w:lineRule="auto"/>
        <w:ind w:left="720" w:hanging="720"/>
        <w:jc w:val="both"/>
        <w:rPr>
          <w:rFonts w:asciiTheme="minorHAnsi" w:hAnsiTheme="minorHAnsi" w:cstheme="minorHAnsi"/>
        </w:rPr>
      </w:pPr>
      <w:r w:rsidRPr="00D97CCD">
        <w:rPr>
          <w:rFonts w:asciiTheme="minorHAnsi" w:hAnsiTheme="minorHAnsi" w:cstheme="minorHAnsi"/>
        </w:rPr>
        <w:t xml:space="preserve">It also explains why legal risk is important: </w:t>
      </w:r>
    </w:p>
    <w:p w14:paraId="74D5A050" w14:textId="25B7F966" w:rsidR="004B60BE" w:rsidRPr="00D97CCD" w:rsidRDefault="004B60BE" w:rsidP="001C7D7E">
      <w:pPr>
        <w:spacing w:after="240" w:line="360" w:lineRule="auto"/>
        <w:ind w:left="1287" w:right="567"/>
        <w:jc w:val="both"/>
        <w:rPr>
          <w:rFonts w:asciiTheme="minorHAnsi" w:hAnsiTheme="minorHAnsi" w:cstheme="minorHAnsi"/>
        </w:rPr>
      </w:pPr>
      <w:r w:rsidRPr="00D97CCD">
        <w:rPr>
          <w:rFonts w:asciiTheme="minorHAnsi" w:hAnsiTheme="minorHAnsi" w:cstheme="minorHAnsi"/>
        </w:rPr>
        <w:t>“</w:t>
      </w:r>
      <w:r w:rsidR="002E50FA" w:rsidRPr="00D97CCD">
        <w:rPr>
          <w:rFonts w:asciiTheme="minorHAnsi" w:hAnsiTheme="minorHAnsi" w:cstheme="minorHAnsi"/>
          <w:i/>
        </w:rPr>
        <w:t>… [T]he job of government lawyers is to advise Ministers and other decision-makers how best to achieve their policy or operational objectives lawfully. This will include identifying legal risks and ways of reducing those risks. Ministers will want to understand the nature and scale of a range of risks, including legal risks, before making their final decision. Ministers will necessarily sometimes need to take decisions at a point when the legal or factual position is uncertain – for example when using powers for the first time, when formulating policy or when the state of the relevant law is uncertain. They need to be well informed about the chance of successful legal challenge, and clear about the impacts, consequences, and limits of legal risk</w:t>
      </w:r>
      <w:r w:rsidR="00DE355B" w:rsidRPr="00D97CCD">
        <w:rPr>
          <w:rFonts w:asciiTheme="minorHAnsi" w:hAnsiTheme="minorHAnsi" w:cstheme="minorHAnsi"/>
          <w:i/>
        </w:rPr>
        <w:t>.</w:t>
      </w:r>
      <w:r w:rsidRPr="00D97CCD">
        <w:rPr>
          <w:rFonts w:asciiTheme="minorHAnsi" w:hAnsiTheme="minorHAnsi" w:cstheme="minorHAnsi"/>
        </w:rPr>
        <w:t>”</w:t>
      </w:r>
    </w:p>
    <w:p w14:paraId="4274232F" w14:textId="2BDF4F1A" w:rsidR="00D840FA" w:rsidRPr="00D97CCD" w:rsidRDefault="00092779" w:rsidP="001C7D7E">
      <w:pPr>
        <w:numPr>
          <w:ilvl w:val="0"/>
          <w:numId w:val="8"/>
        </w:numPr>
        <w:spacing w:after="240" w:line="360" w:lineRule="auto"/>
        <w:ind w:left="720" w:hanging="720"/>
        <w:jc w:val="both"/>
        <w:rPr>
          <w:rFonts w:asciiTheme="minorHAnsi" w:hAnsiTheme="minorHAnsi" w:cstheme="minorHAnsi"/>
        </w:rPr>
      </w:pPr>
      <w:r w:rsidRPr="00D97CCD">
        <w:rPr>
          <w:rFonts w:asciiTheme="minorHAnsi" w:hAnsiTheme="minorHAnsi" w:cstheme="minorHAnsi"/>
        </w:rPr>
        <w:t xml:space="preserve">As to how legal risk is communicated within Government, </w:t>
      </w:r>
      <w:r w:rsidR="00D840FA" w:rsidRPr="00D97CCD">
        <w:rPr>
          <w:rFonts w:asciiTheme="minorHAnsi" w:hAnsiTheme="minorHAnsi" w:cstheme="minorHAnsi"/>
        </w:rPr>
        <w:t xml:space="preserve">the </w:t>
      </w:r>
      <w:r w:rsidR="00DE355B" w:rsidRPr="00D97CCD">
        <w:rPr>
          <w:rFonts w:asciiTheme="minorHAnsi" w:hAnsiTheme="minorHAnsi" w:cstheme="minorHAnsi"/>
        </w:rPr>
        <w:t>AG’s G</w:t>
      </w:r>
      <w:r w:rsidR="00D840FA" w:rsidRPr="00D97CCD">
        <w:rPr>
          <w:rFonts w:asciiTheme="minorHAnsi" w:hAnsiTheme="minorHAnsi" w:cstheme="minorHAnsi"/>
        </w:rPr>
        <w:t xml:space="preserve">uidance </w:t>
      </w:r>
      <w:r w:rsidR="00225035" w:rsidRPr="00D97CCD">
        <w:rPr>
          <w:rFonts w:asciiTheme="minorHAnsi" w:hAnsiTheme="minorHAnsi" w:cstheme="minorHAnsi"/>
        </w:rPr>
        <w:t xml:space="preserve">sets out a table requiring </w:t>
      </w:r>
      <w:r w:rsidR="006E79AD" w:rsidRPr="00D97CCD">
        <w:rPr>
          <w:rFonts w:asciiTheme="minorHAnsi" w:hAnsiTheme="minorHAnsi" w:cstheme="minorHAnsi"/>
        </w:rPr>
        <w:t>that legal risk, in terms of the likelihood of a</w:t>
      </w:r>
      <w:r w:rsidR="00F360CD" w:rsidRPr="00D97CCD">
        <w:rPr>
          <w:rFonts w:asciiTheme="minorHAnsi" w:hAnsiTheme="minorHAnsi" w:cstheme="minorHAnsi"/>
        </w:rPr>
        <w:t>ny challenge, if brought, being successful in court as either ‘</w:t>
      </w:r>
      <w:r w:rsidR="00F360CD" w:rsidRPr="00D97CCD">
        <w:rPr>
          <w:rFonts w:asciiTheme="minorHAnsi" w:hAnsiTheme="minorHAnsi" w:cstheme="minorHAnsi"/>
          <w:i/>
          <w:iCs/>
        </w:rPr>
        <w:t>Low’</w:t>
      </w:r>
      <w:r w:rsidR="00F360CD" w:rsidRPr="00D97CCD">
        <w:rPr>
          <w:rFonts w:asciiTheme="minorHAnsi" w:hAnsiTheme="minorHAnsi" w:cstheme="minorHAnsi"/>
        </w:rPr>
        <w:t>, ‘</w:t>
      </w:r>
      <w:r w:rsidR="003F7502" w:rsidRPr="00D97CCD">
        <w:rPr>
          <w:rFonts w:asciiTheme="minorHAnsi" w:hAnsiTheme="minorHAnsi" w:cstheme="minorHAnsi"/>
          <w:i/>
          <w:iCs/>
        </w:rPr>
        <w:t>Medium Low</w:t>
      </w:r>
      <w:r w:rsidR="00F360CD" w:rsidRPr="00D97CCD">
        <w:rPr>
          <w:rFonts w:asciiTheme="minorHAnsi" w:hAnsiTheme="minorHAnsi" w:cstheme="minorHAnsi"/>
        </w:rPr>
        <w:t>’,</w:t>
      </w:r>
      <w:r w:rsidR="003F7502" w:rsidRPr="00D97CCD">
        <w:rPr>
          <w:rFonts w:asciiTheme="minorHAnsi" w:hAnsiTheme="minorHAnsi" w:cstheme="minorHAnsi"/>
        </w:rPr>
        <w:t xml:space="preserve"> ‘</w:t>
      </w:r>
      <w:r w:rsidR="003F7502" w:rsidRPr="00D97CCD">
        <w:rPr>
          <w:rFonts w:asciiTheme="minorHAnsi" w:hAnsiTheme="minorHAnsi" w:cstheme="minorHAnsi"/>
          <w:i/>
          <w:iCs/>
        </w:rPr>
        <w:t>Medium High</w:t>
      </w:r>
      <w:r w:rsidR="003F7502" w:rsidRPr="00D97CCD">
        <w:rPr>
          <w:rFonts w:asciiTheme="minorHAnsi" w:hAnsiTheme="minorHAnsi" w:cstheme="minorHAnsi"/>
        </w:rPr>
        <w:t>’, ‘</w:t>
      </w:r>
      <w:r w:rsidR="003F7502" w:rsidRPr="00D97CCD">
        <w:rPr>
          <w:rFonts w:asciiTheme="minorHAnsi" w:hAnsiTheme="minorHAnsi" w:cstheme="minorHAnsi"/>
          <w:i/>
          <w:iCs/>
        </w:rPr>
        <w:t>High’</w:t>
      </w:r>
      <w:r w:rsidR="003F7502" w:rsidRPr="00D97CCD">
        <w:rPr>
          <w:rFonts w:asciiTheme="minorHAnsi" w:hAnsiTheme="minorHAnsi" w:cstheme="minorHAnsi"/>
        </w:rPr>
        <w:t>, or ‘</w:t>
      </w:r>
      <w:r w:rsidR="003F7502" w:rsidRPr="00D97CCD">
        <w:rPr>
          <w:rFonts w:asciiTheme="minorHAnsi" w:hAnsiTheme="minorHAnsi" w:cstheme="minorHAnsi"/>
          <w:i/>
          <w:iCs/>
        </w:rPr>
        <w:t>Unlawful’</w:t>
      </w:r>
      <w:r w:rsidR="003F7502" w:rsidRPr="00D97CCD">
        <w:rPr>
          <w:rFonts w:asciiTheme="minorHAnsi" w:hAnsiTheme="minorHAnsi" w:cstheme="minorHAnsi"/>
        </w:rPr>
        <w:t xml:space="preserve">. The latter category is reserved for </w:t>
      </w:r>
      <w:r w:rsidR="00EE0027" w:rsidRPr="00D97CCD">
        <w:rPr>
          <w:rFonts w:asciiTheme="minorHAnsi" w:hAnsiTheme="minorHAnsi" w:cstheme="minorHAnsi"/>
        </w:rPr>
        <w:t xml:space="preserve">situations where there is no tenable argument that the Government’s decision or action in question </w:t>
      </w:r>
      <w:r w:rsidR="00C23306" w:rsidRPr="00D97CCD">
        <w:rPr>
          <w:rFonts w:asciiTheme="minorHAnsi" w:hAnsiTheme="minorHAnsi" w:cstheme="minorHAnsi"/>
        </w:rPr>
        <w:t xml:space="preserve">was, is, or would be, lawful. The AG’s Guidance also invites government lawyers to assess legal risk in terms </w:t>
      </w:r>
      <w:r w:rsidR="00C23306" w:rsidRPr="00D97CCD">
        <w:rPr>
          <w:rFonts w:asciiTheme="minorHAnsi" w:hAnsiTheme="minorHAnsi" w:cstheme="minorHAnsi"/>
        </w:rPr>
        <w:lastRenderedPageBreak/>
        <w:t xml:space="preserve">of: (a) the risk of a challenge being brought; and (b) the </w:t>
      </w:r>
      <w:r w:rsidR="00297999" w:rsidRPr="00D97CCD">
        <w:rPr>
          <w:rFonts w:asciiTheme="minorHAnsi" w:hAnsiTheme="minorHAnsi" w:cstheme="minorHAnsi"/>
        </w:rPr>
        <w:t>severity of the consequences that could flow from the challenge succeeding.</w:t>
      </w:r>
    </w:p>
    <w:p w14:paraId="795735C6" w14:textId="13E28518" w:rsidR="00532314" w:rsidRPr="00D97CCD" w:rsidRDefault="00901A8B" w:rsidP="001C7D7E">
      <w:pPr>
        <w:numPr>
          <w:ilvl w:val="0"/>
          <w:numId w:val="8"/>
        </w:numPr>
        <w:spacing w:after="240" w:line="360" w:lineRule="auto"/>
        <w:ind w:left="720" w:hanging="720"/>
        <w:jc w:val="both"/>
        <w:rPr>
          <w:rFonts w:asciiTheme="minorHAnsi" w:hAnsiTheme="minorHAnsi" w:cstheme="minorHAnsi"/>
        </w:rPr>
      </w:pPr>
      <w:r w:rsidRPr="00D97CCD">
        <w:rPr>
          <w:rFonts w:asciiTheme="minorHAnsi" w:hAnsiTheme="minorHAnsi" w:cstheme="minorHAnsi"/>
        </w:rPr>
        <w:t xml:space="preserve">Similar dimensions of ‘legal risk’ are likely also to be considered by </w:t>
      </w:r>
      <w:r w:rsidR="007D3999" w:rsidRPr="00D97CCD">
        <w:rPr>
          <w:rFonts w:asciiTheme="minorHAnsi" w:hAnsiTheme="minorHAnsi" w:cstheme="minorHAnsi"/>
        </w:rPr>
        <w:t>in-house and external lawyers advising other public authorities, even if the AG’s Guidance does not apply to them. Those lawyers will be keen to understand their client</w:t>
      </w:r>
      <w:r w:rsidR="0055073A" w:rsidRPr="00D97CCD">
        <w:rPr>
          <w:rFonts w:asciiTheme="minorHAnsi" w:hAnsiTheme="minorHAnsi" w:cstheme="minorHAnsi"/>
        </w:rPr>
        <w:t>’s priorities</w:t>
      </w:r>
      <w:r w:rsidR="00832459" w:rsidRPr="00D97CCD">
        <w:rPr>
          <w:rFonts w:asciiTheme="minorHAnsi" w:hAnsiTheme="minorHAnsi" w:cstheme="minorHAnsi"/>
        </w:rPr>
        <w:t xml:space="preserve"> and to give advice accordingly</w:t>
      </w:r>
      <w:r w:rsidR="0055073A" w:rsidRPr="00D97CCD">
        <w:rPr>
          <w:rFonts w:asciiTheme="minorHAnsi" w:hAnsiTheme="minorHAnsi" w:cstheme="minorHAnsi"/>
        </w:rPr>
        <w:t xml:space="preserve">: for example, in the context a challenge affecting the procurement of a contract for carrying out an important public service, </w:t>
      </w:r>
      <w:r w:rsidR="00832459" w:rsidRPr="00D97CCD">
        <w:rPr>
          <w:rFonts w:asciiTheme="minorHAnsi" w:hAnsiTheme="minorHAnsi" w:cstheme="minorHAnsi"/>
        </w:rPr>
        <w:t xml:space="preserve">the authority’s priority may be to ensure that there is no interruption in the performance of that service. </w:t>
      </w:r>
      <w:r w:rsidR="001400BE" w:rsidRPr="00D97CCD">
        <w:rPr>
          <w:rFonts w:asciiTheme="minorHAnsi" w:hAnsiTheme="minorHAnsi" w:cstheme="minorHAnsi"/>
        </w:rPr>
        <w:t xml:space="preserve">Particularly for local authorities and some other public authorities, a key consideration may be to </w:t>
      </w:r>
      <w:r w:rsidR="00332E31" w:rsidRPr="00D97CCD">
        <w:rPr>
          <w:rFonts w:asciiTheme="minorHAnsi" w:hAnsiTheme="minorHAnsi" w:cstheme="minorHAnsi"/>
        </w:rPr>
        <w:t>seek to limit legal costs (both their own costs and their exposures to potentially having to pay other parties’ costs).</w:t>
      </w:r>
    </w:p>
    <w:p w14:paraId="097481E2" w14:textId="77777777" w:rsidR="00092779" w:rsidRPr="00D97CCD" w:rsidRDefault="00092779" w:rsidP="001C7D7E">
      <w:pPr>
        <w:spacing w:after="240" w:line="360" w:lineRule="auto"/>
        <w:ind w:left="720"/>
        <w:jc w:val="both"/>
        <w:rPr>
          <w:rFonts w:asciiTheme="minorHAnsi" w:hAnsiTheme="minorHAnsi" w:cstheme="minorHAnsi"/>
        </w:rPr>
      </w:pPr>
      <w:r w:rsidRPr="00D97CCD">
        <w:rPr>
          <w:rFonts w:asciiTheme="minorHAnsi" w:hAnsiTheme="minorHAnsi" w:cstheme="minorHAnsi"/>
          <w:b/>
        </w:rPr>
        <w:t>Defendant lawyers</w:t>
      </w:r>
    </w:p>
    <w:p w14:paraId="55A76596" w14:textId="69443818" w:rsidR="000873E7" w:rsidRPr="00D97CCD" w:rsidRDefault="00297999" w:rsidP="001C7D7E">
      <w:pPr>
        <w:numPr>
          <w:ilvl w:val="0"/>
          <w:numId w:val="8"/>
        </w:numPr>
        <w:spacing w:after="240" w:line="360" w:lineRule="auto"/>
        <w:ind w:left="720" w:hanging="720"/>
        <w:jc w:val="both"/>
        <w:rPr>
          <w:rFonts w:asciiTheme="minorHAnsi" w:hAnsiTheme="minorHAnsi" w:cstheme="minorHAnsi"/>
        </w:rPr>
      </w:pPr>
      <w:r w:rsidRPr="00D97CCD">
        <w:rPr>
          <w:rFonts w:asciiTheme="minorHAnsi" w:hAnsiTheme="minorHAnsi" w:cstheme="minorHAnsi"/>
        </w:rPr>
        <w:t>P</w:t>
      </w:r>
      <w:r w:rsidR="00092779" w:rsidRPr="00D97CCD">
        <w:rPr>
          <w:rFonts w:asciiTheme="minorHAnsi" w:hAnsiTheme="minorHAnsi" w:cstheme="minorHAnsi"/>
        </w:rPr>
        <w:t>ublic sector lawyers are</w:t>
      </w:r>
      <w:r w:rsidR="00D840FA" w:rsidRPr="00D97CCD">
        <w:rPr>
          <w:rFonts w:asciiTheme="minorHAnsi" w:hAnsiTheme="minorHAnsi" w:cstheme="minorHAnsi"/>
        </w:rPr>
        <w:t>: (a) first and foremost lawyers, bound by professional duties; and (</w:t>
      </w:r>
      <w:r w:rsidR="00653C7E" w:rsidRPr="00D97CCD">
        <w:rPr>
          <w:rFonts w:asciiTheme="minorHAnsi" w:hAnsiTheme="minorHAnsi" w:cstheme="minorHAnsi"/>
        </w:rPr>
        <w:t>b</w:t>
      </w:r>
      <w:r w:rsidR="00D840FA" w:rsidRPr="00D97CCD">
        <w:rPr>
          <w:rFonts w:asciiTheme="minorHAnsi" w:hAnsiTheme="minorHAnsi" w:cstheme="minorHAnsi"/>
        </w:rPr>
        <w:t>)</w:t>
      </w:r>
      <w:r w:rsidR="000873E7" w:rsidRPr="00D97CCD">
        <w:rPr>
          <w:rFonts w:asciiTheme="minorHAnsi" w:hAnsiTheme="minorHAnsi" w:cstheme="minorHAnsi"/>
        </w:rPr>
        <w:t xml:space="preserve"> managers of risk. </w:t>
      </w:r>
    </w:p>
    <w:p w14:paraId="11F104F6" w14:textId="501E6E0F" w:rsidR="00092779" w:rsidRPr="00D97CCD" w:rsidRDefault="00092779" w:rsidP="001C7D7E">
      <w:pPr>
        <w:numPr>
          <w:ilvl w:val="0"/>
          <w:numId w:val="8"/>
        </w:numPr>
        <w:spacing w:after="240" w:line="360" w:lineRule="auto"/>
        <w:ind w:left="720" w:hanging="720"/>
        <w:jc w:val="both"/>
        <w:rPr>
          <w:rFonts w:asciiTheme="minorHAnsi" w:hAnsiTheme="minorHAnsi" w:cstheme="minorHAnsi"/>
        </w:rPr>
      </w:pPr>
      <w:r w:rsidRPr="00D97CCD">
        <w:rPr>
          <w:rFonts w:asciiTheme="minorHAnsi" w:hAnsiTheme="minorHAnsi" w:cstheme="minorHAnsi"/>
        </w:rPr>
        <w:t>When considering a possible application for judicial review,</w:t>
      </w:r>
      <w:r w:rsidR="00D840FA" w:rsidRPr="00D97CCD">
        <w:rPr>
          <w:rFonts w:asciiTheme="minorHAnsi" w:hAnsiTheme="minorHAnsi" w:cstheme="minorHAnsi"/>
        </w:rPr>
        <w:t xml:space="preserve"> therefore,</w:t>
      </w:r>
      <w:r w:rsidRPr="00D97CCD">
        <w:rPr>
          <w:rFonts w:asciiTheme="minorHAnsi" w:hAnsiTheme="minorHAnsi" w:cstheme="minorHAnsi"/>
        </w:rPr>
        <w:t xml:space="preserve"> it is in our experience important to always ask oneself an initial question</w:t>
      </w:r>
      <w:r w:rsidR="000873E7" w:rsidRPr="00D97CCD">
        <w:rPr>
          <w:rFonts w:asciiTheme="minorHAnsi" w:hAnsiTheme="minorHAnsi" w:cstheme="minorHAnsi"/>
        </w:rPr>
        <w:t xml:space="preserve">: is there an obvious legal problem with what is being proposed, which may </w:t>
      </w:r>
      <w:r w:rsidR="00D840FA" w:rsidRPr="00D97CCD">
        <w:rPr>
          <w:rFonts w:asciiTheme="minorHAnsi" w:hAnsiTheme="minorHAnsi" w:cstheme="minorHAnsi"/>
        </w:rPr>
        <w:t>simply have</w:t>
      </w:r>
      <w:r w:rsidR="000873E7" w:rsidRPr="00D97CCD">
        <w:rPr>
          <w:rFonts w:asciiTheme="minorHAnsi" w:hAnsiTheme="minorHAnsi" w:cstheme="minorHAnsi"/>
        </w:rPr>
        <w:t xml:space="preserve"> been missed by the decision-maker? If so, might it help</w:t>
      </w:r>
      <w:r w:rsidR="00D840FA" w:rsidRPr="00D97CCD">
        <w:rPr>
          <w:rFonts w:asciiTheme="minorHAnsi" w:hAnsiTheme="minorHAnsi" w:cstheme="minorHAnsi"/>
        </w:rPr>
        <w:t xml:space="preserve"> if I try to make the decision-maker realise that they need to talk to their lawyers? </w:t>
      </w:r>
      <w:r w:rsidR="00963EDB" w:rsidRPr="00D97CCD">
        <w:rPr>
          <w:rFonts w:asciiTheme="minorHAnsi" w:hAnsiTheme="minorHAnsi" w:cstheme="minorHAnsi"/>
        </w:rPr>
        <w:t>Is there any other way to influence the outcome before the decision is made</w:t>
      </w:r>
      <w:r w:rsidR="003D2579">
        <w:rPr>
          <w:rFonts w:asciiTheme="minorHAnsi" w:hAnsiTheme="minorHAnsi" w:cstheme="minorHAnsi"/>
        </w:rPr>
        <w:t xml:space="preserve"> (or get it quickly changed)</w:t>
      </w:r>
      <w:r w:rsidR="00963EDB" w:rsidRPr="00D97CCD">
        <w:rPr>
          <w:rFonts w:asciiTheme="minorHAnsi" w:hAnsiTheme="minorHAnsi" w:cstheme="minorHAnsi"/>
        </w:rPr>
        <w:t>?</w:t>
      </w:r>
    </w:p>
    <w:p w14:paraId="66580032" w14:textId="3F6D3180" w:rsidR="00D840FA" w:rsidRPr="00D97CCD" w:rsidRDefault="00D840FA" w:rsidP="001C7D7E">
      <w:pPr>
        <w:numPr>
          <w:ilvl w:val="0"/>
          <w:numId w:val="8"/>
        </w:numPr>
        <w:spacing w:after="240" w:line="360" w:lineRule="auto"/>
        <w:ind w:left="720" w:hanging="720"/>
        <w:jc w:val="both"/>
        <w:rPr>
          <w:rFonts w:asciiTheme="minorHAnsi" w:hAnsiTheme="minorHAnsi" w:cstheme="minorHAnsi"/>
        </w:rPr>
      </w:pPr>
      <w:r w:rsidRPr="00D97CCD">
        <w:rPr>
          <w:rFonts w:asciiTheme="minorHAnsi" w:hAnsiTheme="minorHAnsi" w:cstheme="minorHAnsi"/>
        </w:rPr>
        <w:t xml:space="preserve">This is important because although the ultimate decision is for the decision-maker, their lawyers </w:t>
      </w:r>
      <w:r w:rsidR="00A32234" w:rsidRPr="00D97CCD">
        <w:rPr>
          <w:rFonts w:asciiTheme="minorHAnsi" w:hAnsiTheme="minorHAnsi" w:cstheme="minorHAnsi"/>
        </w:rPr>
        <w:t>are likely to</w:t>
      </w:r>
      <w:r w:rsidRPr="00D97CCD">
        <w:rPr>
          <w:rFonts w:asciiTheme="minorHAnsi" w:hAnsiTheme="minorHAnsi" w:cstheme="minorHAnsi"/>
        </w:rPr>
        <w:t xml:space="preserve"> be thinking like any other lawyer. They will appreciate, in particular, that it is preferable to avoid litigation where possible, and that </w:t>
      </w:r>
      <w:r w:rsidR="00E27694" w:rsidRPr="00D97CCD">
        <w:rPr>
          <w:rFonts w:asciiTheme="minorHAnsi" w:hAnsiTheme="minorHAnsi" w:cstheme="minorHAnsi"/>
        </w:rPr>
        <w:t xml:space="preserve">one needs to get </w:t>
      </w:r>
      <w:r w:rsidRPr="00D97CCD">
        <w:rPr>
          <w:rFonts w:asciiTheme="minorHAnsi" w:hAnsiTheme="minorHAnsi" w:cstheme="minorHAnsi"/>
        </w:rPr>
        <w:t xml:space="preserve">things right (or put things right) first time in order to do that. Of course, the extent to which the lawyer in question is able to influence the decision-maker will vary – and may be less where the target in question is a </w:t>
      </w:r>
      <w:r w:rsidR="00E27694" w:rsidRPr="00D97CCD">
        <w:rPr>
          <w:rFonts w:asciiTheme="minorHAnsi" w:hAnsiTheme="minorHAnsi" w:cstheme="minorHAnsi"/>
        </w:rPr>
        <w:t>“</w:t>
      </w:r>
      <w:r w:rsidRPr="00D97CCD">
        <w:rPr>
          <w:rFonts w:asciiTheme="minorHAnsi" w:hAnsiTheme="minorHAnsi" w:cstheme="minorHAnsi"/>
        </w:rPr>
        <w:t>big ticket</w:t>
      </w:r>
      <w:r w:rsidR="00E27694" w:rsidRPr="00D97CCD">
        <w:rPr>
          <w:rFonts w:asciiTheme="minorHAnsi" w:hAnsiTheme="minorHAnsi" w:cstheme="minorHAnsi"/>
        </w:rPr>
        <w:t>”</w:t>
      </w:r>
      <w:r w:rsidRPr="00D97CCD">
        <w:rPr>
          <w:rFonts w:asciiTheme="minorHAnsi" w:hAnsiTheme="minorHAnsi" w:cstheme="minorHAnsi"/>
        </w:rPr>
        <w:t xml:space="preserve"> policy decision</w:t>
      </w:r>
      <w:r w:rsidR="00E27694" w:rsidRPr="00D97CCD">
        <w:rPr>
          <w:rFonts w:asciiTheme="minorHAnsi" w:hAnsiTheme="minorHAnsi" w:cstheme="minorHAnsi"/>
        </w:rPr>
        <w:t>, where the content of a decision makes a challenge almost inevitable</w:t>
      </w:r>
      <w:r w:rsidRPr="00D97CCD">
        <w:rPr>
          <w:rFonts w:asciiTheme="minorHAnsi" w:hAnsiTheme="minorHAnsi" w:cstheme="minorHAnsi"/>
        </w:rPr>
        <w:t xml:space="preserve">. </w:t>
      </w:r>
    </w:p>
    <w:p w14:paraId="590C6C28" w14:textId="295D2397" w:rsidR="00D840FA" w:rsidRPr="00D97CCD" w:rsidRDefault="00E27694" w:rsidP="001C7D7E">
      <w:pPr>
        <w:numPr>
          <w:ilvl w:val="0"/>
          <w:numId w:val="8"/>
        </w:numPr>
        <w:spacing w:after="240" w:line="360" w:lineRule="auto"/>
        <w:ind w:left="720" w:hanging="720"/>
        <w:jc w:val="both"/>
        <w:rPr>
          <w:rFonts w:asciiTheme="minorHAnsi" w:hAnsiTheme="minorHAnsi" w:cstheme="minorHAnsi"/>
        </w:rPr>
      </w:pPr>
      <w:r w:rsidRPr="00D97CCD">
        <w:rPr>
          <w:rFonts w:asciiTheme="minorHAnsi" w:hAnsiTheme="minorHAnsi" w:cstheme="minorHAnsi"/>
        </w:rPr>
        <w:lastRenderedPageBreak/>
        <w:t>Even in those</w:t>
      </w:r>
      <w:r w:rsidR="00D840FA" w:rsidRPr="00D97CCD">
        <w:rPr>
          <w:rFonts w:asciiTheme="minorHAnsi" w:hAnsiTheme="minorHAnsi" w:cstheme="minorHAnsi"/>
        </w:rPr>
        <w:t xml:space="preserve"> cases, however, </w:t>
      </w:r>
      <w:r w:rsidR="00E55674" w:rsidRPr="00D97CCD">
        <w:rPr>
          <w:rFonts w:asciiTheme="minorHAnsi" w:hAnsiTheme="minorHAnsi" w:cstheme="minorHAnsi"/>
        </w:rPr>
        <w:t>public authorities’</w:t>
      </w:r>
      <w:r w:rsidR="00D840FA" w:rsidRPr="00D97CCD">
        <w:rPr>
          <w:rFonts w:asciiTheme="minorHAnsi" w:hAnsiTheme="minorHAnsi" w:cstheme="minorHAnsi"/>
        </w:rPr>
        <w:t xml:space="preserve"> lawyers </w:t>
      </w:r>
      <w:r w:rsidR="008979AD" w:rsidRPr="00D97CCD">
        <w:rPr>
          <w:rFonts w:asciiTheme="minorHAnsi" w:hAnsiTheme="minorHAnsi" w:cstheme="minorHAnsi"/>
        </w:rPr>
        <w:t>will</w:t>
      </w:r>
      <w:r w:rsidR="00D840FA" w:rsidRPr="00D97CCD">
        <w:rPr>
          <w:rFonts w:asciiTheme="minorHAnsi" w:hAnsiTheme="minorHAnsi" w:cstheme="minorHAnsi"/>
        </w:rPr>
        <w:t xml:space="preserve"> </w:t>
      </w:r>
      <w:r w:rsidR="003D2579">
        <w:rPr>
          <w:rFonts w:asciiTheme="minorHAnsi" w:hAnsiTheme="minorHAnsi" w:cstheme="minorHAnsi"/>
        </w:rPr>
        <w:t xml:space="preserve">have </w:t>
      </w:r>
      <w:r w:rsidR="00D840FA" w:rsidRPr="00D97CCD">
        <w:rPr>
          <w:rFonts w:asciiTheme="minorHAnsi" w:hAnsiTheme="minorHAnsi" w:cstheme="minorHAnsi"/>
        </w:rPr>
        <w:t>certain tools at their disposal</w:t>
      </w:r>
      <w:r w:rsidR="008979AD" w:rsidRPr="00D97CCD">
        <w:rPr>
          <w:rFonts w:asciiTheme="minorHAnsi" w:hAnsiTheme="minorHAnsi" w:cstheme="minorHAnsi"/>
        </w:rPr>
        <w:t xml:space="preserve"> which can help them get ahead of the risk of subsequent challenge</w:t>
      </w:r>
      <w:r w:rsidRPr="00D97CCD">
        <w:rPr>
          <w:rFonts w:asciiTheme="minorHAnsi" w:hAnsiTheme="minorHAnsi" w:cstheme="minorHAnsi"/>
        </w:rPr>
        <w:t>.</w:t>
      </w:r>
    </w:p>
    <w:p w14:paraId="4C9E2D3F" w14:textId="744E6B05" w:rsidR="00E27694" w:rsidRPr="00D97CCD" w:rsidRDefault="00E27694" w:rsidP="00CB4680">
      <w:pPr>
        <w:spacing w:after="240" w:line="360" w:lineRule="auto"/>
        <w:ind w:firstLine="720"/>
        <w:jc w:val="both"/>
        <w:rPr>
          <w:rFonts w:asciiTheme="minorHAnsi" w:hAnsiTheme="minorHAnsi" w:cstheme="minorHAnsi"/>
          <w:b/>
          <w:u w:val="single"/>
        </w:rPr>
      </w:pPr>
      <w:r w:rsidRPr="00D97CCD">
        <w:rPr>
          <w:rFonts w:asciiTheme="minorHAnsi" w:hAnsiTheme="minorHAnsi" w:cstheme="minorHAnsi"/>
          <w:b/>
          <w:u w:val="single"/>
        </w:rPr>
        <w:t>PROCESS IN PUBLIC LAW DECISION-MAKING</w:t>
      </w:r>
    </w:p>
    <w:p w14:paraId="6B3AA73F" w14:textId="0615F795" w:rsidR="00E27694" w:rsidRPr="00D97CCD" w:rsidRDefault="008979AD" w:rsidP="001C7D7E">
      <w:pPr>
        <w:numPr>
          <w:ilvl w:val="0"/>
          <w:numId w:val="8"/>
        </w:numPr>
        <w:spacing w:after="240" w:line="360" w:lineRule="auto"/>
        <w:ind w:left="720" w:hanging="720"/>
        <w:jc w:val="both"/>
        <w:rPr>
          <w:rFonts w:asciiTheme="minorHAnsi" w:hAnsiTheme="minorHAnsi" w:cstheme="minorHAnsi"/>
        </w:rPr>
      </w:pPr>
      <w:r w:rsidRPr="00D97CCD">
        <w:rPr>
          <w:rFonts w:asciiTheme="minorHAnsi" w:hAnsiTheme="minorHAnsi" w:cstheme="minorHAnsi"/>
        </w:rPr>
        <w:t>The</w:t>
      </w:r>
      <w:r w:rsidR="00E27694" w:rsidRPr="00D97CCD">
        <w:rPr>
          <w:rFonts w:asciiTheme="minorHAnsi" w:hAnsiTheme="minorHAnsi" w:cstheme="minorHAnsi"/>
        </w:rPr>
        <w:t xml:space="preserve"> key tool which public </w:t>
      </w:r>
      <w:r w:rsidR="00E55674" w:rsidRPr="00D97CCD">
        <w:rPr>
          <w:rFonts w:asciiTheme="minorHAnsi" w:hAnsiTheme="minorHAnsi" w:cstheme="minorHAnsi"/>
        </w:rPr>
        <w:t>authorities’</w:t>
      </w:r>
      <w:r w:rsidR="00E27694" w:rsidRPr="00D97CCD">
        <w:rPr>
          <w:rFonts w:asciiTheme="minorHAnsi" w:hAnsiTheme="minorHAnsi" w:cstheme="minorHAnsi"/>
        </w:rPr>
        <w:t xml:space="preserve"> lawyers have is an ability to influence the </w:t>
      </w:r>
      <w:r w:rsidR="00E27694" w:rsidRPr="00D97CCD">
        <w:rPr>
          <w:rFonts w:asciiTheme="minorHAnsi" w:hAnsiTheme="minorHAnsi" w:cstheme="minorHAnsi"/>
          <w:u w:val="single"/>
        </w:rPr>
        <w:t>process</w:t>
      </w:r>
      <w:r w:rsidR="00E27694" w:rsidRPr="00D97CCD">
        <w:rPr>
          <w:rFonts w:asciiTheme="minorHAnsi" w:hAnsiTheme="minorHAnsi" w:cstheme="minorHAnsi"/>
        </w:rPr>
        <w:t xml:space="preserve"> by which decisions are reached. From a </w:t>
      </w:r>
      <w:r w:rsidR="00945551" w:rsidRPr="00D97CCD">
        <w:rPr>
          <w:rFonts w:asciiTheme="minorHAnsi" w:hAnsiTheme="minorHAnsi" w:cstheme="minorHAnsi"/>
        </w:rPr>
        <w:t>c</w:t>
      </w:r>
      <w:r w:rsidR="00E27694" w:rsidRPr="00D97CCD">
        <w:rPr>
          <w:rFonts w:asciiTheme="minorHAnsi" w:hAnsiTheme="minorHAnsi" w:cstheme="minorHAnsi"/>
        </w:rPr>
        <w:t xml:space="preserve">laimant’s perspective, where the decision-making process has obviously gone wrong there are likely to be good grounds for some kind of challenge. </w:t>
      </w:r>
      <w:r w:rsidR="003D2579">
        <w:rPr>
          <w:rFonts w:asciiTheme="minorHAnsi" w:hAnsiTheme="minorHAnsi" w:cstheme="minorHAnsi"/>
        </w:rPr>
        <w:t xml:space="preserve">(We use “process” here to include the correct use of legal powers.) </w:t>
      </w:r>
      <w:r w:rsidR="00E27694" w:rsidRPr="00D97CCD">
        <w:rPr>
          <w:rFonts w:asciiTheme="minorHAnsi" w:hAnsiTheme="minorHAnsi" w:cstheme="minorHAnsi"/>
        </w:rPr>
        <w:t xml:space="preserve">If you are a </w:t>
      </w:r>
      <w:r w:rsidR="00945551" w:rsidRPr="00D97CCD">
        <w:rPr>
          <w:rFonts w:asciiTheme="minorHAnsi" w:hAnsiTheme="minorHAnsi" w:cstheme="minorHAnsi"/>
        </w:rPr>
        <w:t>public authority’s</w:t>
      </w:r>
      <w:r w:rsidR="00E27694" w:rsidRPr="00D97CCD">
        <w:rPr>
          <w:rFonts w:asciiTheme="minorHAnsi" w:hAnsiTheme="minorHAnsi" w:cstheme="minorHAnsi"/>
        </w:rPr>
        <w:t xml:space="preserve"> lawyer, therefore, you want to: (1) get the process right, first time round, if you possibly can; (2) take particular note of any process points made by the other side in their pre-action correspondence or (subsequently) detailed grounds. Is there anything which can be done to retrospectively fix a process that has gone wrong? </w:t>
      </w:r>
    </w:p>
    <w:p w14:paraId="442F022A" w14:textId="77777777" w:rsidR="00E27694" w:rsidRPr="00D97CCD" w:rsidRDefault="00023F89" w:rsidP="001C7D7E">
      <w:pPr>
        <w:numPr>
          <w:ilvl w:val="0"/>
          <w:numId w:val="8"/>
        </w:numPr>
        <w:spacing w:after="240" w:line="360" w:lineRule="auto"/>
        <w:ind w:left="720" w:hanging="720"/>
        <w:jc w:val="both"/>
        <w:rPr>
          <w:rFonts w:asciiTheme="minorHAnsi" w:hAnsiTheme="minorHAnsi" w:cstheme="minorHAnsi"/>
        </w:rPr>
      </w:pPr>
      <w:r w:rsidRPr="00D97CCD">
        <w:rPr>
          <w:rFonts w:asciiTheme="minorHAnsi" w:hAnsiTheme="minorHAnsi" w:cstheme="minorHAnsi"/>
        </w:rPr>
        <w:t>Process issues</w:t>
      </w:r>
      <w:r w:rsidR="00E27694" w:rsidRPr="00D97CCD">
        <w:rPr>
          <w:rFonts w:asciiTheme="minorHAnsi" w:hAnsiTheme="minorHAnsi" w:cstheme="minorHAnsi"/>
        </w:rPr>
        <w:t xml:space="preserve"> which </w:t>
      </w:r>
      <w:r w:rsidRPr="00D97CCD">
        <w:rPr>
          <w:rFonts w:asciiTheme="minorHAnsi" w:hAnsiTheme="minorHAnsi" w:cstheme="minorHAnsi"/>
        </w:rPr>
        <w:t>may arise</w:t>
      </w:r>
      <w:r w:rsidR="00E27694" w:rsidRPr="00D97CCD">
        <w:rPr>
          <w:rFonts w:asciiTheme="minorHAnsi" w:hAnsiTheme="minorHAnsi" w:cstheme="minorHAnsi"/>
        </w:rPr>
        <w:t xml:space="preserve"> include: </w:t>
      </w:r>
    </w:p>
    <w:p w14:paraId="5A72DCD9" w14:textId="3232D0F7" w:rsidR="00E27694" w:rsidRPr="00D97CCD" w:rsidRDefault="00E27694" w:rsidP="001C7D7E">
      <w:pPr>
        <w:numPr>
          <w:ilvl w:val="1"/>
          <w:numId w:val="8"/>
        </w:numPr>
        <w:spacing w:after="240" w:line="360" w:lineRule="auto"/>
        <w:jc w:val="both"/>
        <w:rPr>
          <w:rFonts w:asciiTheme="minorHAnsi" w:hAnsiTheme="minorHAnsi" w:cstheme="minorHAnsi"/>
        </w:rPr>
      </w:pPr>
      <w:r w:rsidRPr="00D97CCD">
        <w:rPr>
          <w:rFonts w:asciiTheme="minorHAnsi" w:hAnsiTheme="minorHAnsi" w:cstheme="minorHAnsi"/>
        </w:rPr>
        <w:t xml:space="preserve">Does the decision-maker have the power (statutory or otherwise) to take the proposed decision? Has the source of their power </w:t>
      </w:r>
      <w:r w:rsidR="00903554" w:rsidRPr="00D97CCD">
        <w:rPr>
          <w:rFonts w:asciiTheme="minorHAnsi" w:hAnsiTheme="minorHAnsi" w:cstheme="minorHAnsi"/>
        </w:rPr>
        <w:t xml:space="preserve">– </w:t>
      </w:r>
      <w:r w:rsidR="00C21818" w:rsidRPr="00D97CCD">
        <w:rPr>
          <w:rFonts w:asciiTheme="minorHAnsi" w:hAnsiTheme="minorHAnsi" w:cstheme="minorHAnsi"/>
        </w:rPr>
        <w:t>whether arising under purely domestic</w:t>
      </w:r>
      <w:r w:rsidR="00903554" w:rsidRPr="00D97CCD">
        <w:rPr>
          <w:rFonts w:asciiTheme="minorHAnsi" w:hAnsiTheme="minorHAnsi" w:cstheme="minorHAnsi"/>
        </w:rPr>
        <w:t xml:space="preserve"> law</w:t>
      </w:r>
      <w:r w:rsidR="00C21818" w:rsidRPr="00D97CCD">
        <w:rPr>
          <w:rFonts w:asciiTheme="minorHAnsi" w:hAnsiTheme="minorHAnsi" w:cstheme="minorHAnsi"/>
        </w:rPr>
        <w:t xml:space="preserve">, or </w:t>
      </w:r>
      <w:r w:rsidR="00903554" w:rsidRPr="00D97CCD">
        <w:rPr>
          <w:rFonts w:asciiTheme="minorHAnsi" w:hAnsiTheme="minorHAnsi" w:cstheme="minorHAnsi"/>
        </w:rPr>
        <w:t xml:space="preserve">assimilated EU law, or </w:t>
      </w:r>
      <w:r w:rsidR="00ED2E6D" w:rsidRPr="00D97CCD">
        <w:rPr>
          <w:rFonts w:asciiTheme="minorHAnsi" w:hAnsiTheme="minorHAnsi" w:cstheme="minorHAnsi"/>
        </w:rPr>
        <w:t xml:space="preserve">prerogative powers – </w:t>
      </w:r>
      <w:r w:rsidRPr="00D97CCD">
        <w:rPr>
          <w:rFonts w:asciiTheme="minorHAnsi" w:hAnsiTheme="minorHAnsi" w:cstheme="minorHAnsi"/>
        </w:rPr>
        <w:t>been correctly identified?</w:t>
      </w:r>
      <w:r w:rsidR="00ED2E6D" w:rsidRPr="00D97CCD">
        <w:rPr>
          <w:rFonts w:asciiTheme="minorHAnsi" w:hAnsiTheme="minorHAnsi" w:cstheme="minorHAnsi"/>
        </w:rPr>
        <w:t xml:space="preserve"> What are the statutory conditions for the exercise of the power?</w:t>
      </w:r>
    </w:p>
    <w:p w14:paraId="038F57A3" w14:textId="3EC4CD89" w:rsidR="008979AD" w:rsidRPr="00D97CCD" w:rsidRDefault="008979AD" w:rsidP="001C7D7E">
      <w:pPr>
        <w:numPr>
          <w:ilvl w:val="1"/>
          <w:numId w:val="8"/>
        </w:numPr>
        <w:spacing w:after="240" w:line="360" w:lineRule="auto"/>
        <w:jc w:val="both"/>
        <w:rPr>
          <w:rFonts w:asciiTheme="minorHAnsi" w:hAnsiTheme="minorHAnsi" w:cstheme="minorHAnsi"/>
        </w:rPr>
      </w:pPr>
      <w:r w:rsidRPr="00D97CCD">
        <w:rPr>
          <w:rFonts w:asciiTheme="minorHAnsi" w:hAnsiTheme="minorHAnsi" w:cstheme="minorHAnsi"/>
        </w:rPr>
        <w:t>Allied to that, has the right decision</w:t>
      </w:r>
      <w:r w:rsidR="00532314" w:rsidRPr="00D97CCD">
        <w:rPr>
          <w:rFonts w:asciiTheme="minorHAnsi" w:hAnsiTheme="minorHAnsi" w:cstheme="minorHAnsi"/>
        </w:rPr>
        <w:t>-</w:t>
      </w:r>
      <w:r w:rsidRPr="00D97CCD">
        <w:rPr>
          <w:rFonts w:asciiTheme="minorHAnsi" w:hAnsiTheme="minorHAnsi" w:cstheme="minorHAnsi"/>
        </w:rPr>
        <w:t xml:space="preserve">maker been identified? </w:t>
      </w:r>
      <w:r w:rsidR="003D7644" w:rsidRPr="00D97CCD">
        <w:rPr>
          <w:rFonts w:asciiTheme="minorHAnsi" w:hAnsiTheme="minorHAnsi" w:cstheme="minorHAnsi"/>
        </w:rPr>
        <w:t>(</w:t>
      </w:r>
      <w:r w:rsidRPr="00D97CCD">
        <w:rPr>
          <w:rFonts w:asciiTheme="minorHAnsi" w:hAnsiTheme="minorHAnsi" w:cstheme="minorHAnsi"/>
        </w:rPr>
        <w:t xml:space="preserve">Note, in this regard, the application of the </w:t>
      </w:r>
      <w:proofErr w:type="spellStart"/>
      <w:r w:rsidRPr="00D97CCD">
        <w:rPr>
          <w:rFonts w:asciiTheme="minorHAnsi" w:hAnsiTheme="minorHAnsi" w:cstheme="minorHAnsi"/>
          <w:i/>
        </w:rPr>
        <w:t>Carltona</w:t>
      </w:r>
      <w:proofErr w:type="spellEnd"/>
      <w:r w:rsidRPr="00D97CCD">
        <w:rPr>
          <w:rFonts w:asciiTheme="minorHAnsi" w:hAnsiTheme="minorHAnsi" w:cstheme="minorHAnsi"/>
          <w:i/>
        </w:rPr>
        <w:t xml:space="preserve"> </w:t>
      </w:r>
      <w:r w:rsidRPr="00D97CCD">
        <w:rPr>
          <w:rFonts w:asciiTheme="minorHAnsi" w:hAnsiTheme="minorHAnsi" w:cstheme="minorHAnsi"/>
        </w:rPr>
        <w:t xml:space="preserve">principle and the judgment of the Supreme Court in </w:t>
      </w:r>
      <w:r w:rsidRPr="00D97CCD">
        <w:rPr>
          <w:rFonts w:asciiTheme="minorHAnsi" w:hAnsiTheme="minorHAnsi" w:cstheme="minorHAnsi"/>
          <w:i/>
        </w:rPr>
        <w:t xml:space="preserve">R v Adams </w:t>
      </w:r>
      <w:r w:rsidRPr="00D97CCD">
        <w:rPr>
          <w:rFonts w:asciiTheme="minorHAnsi" w:hAnsiTheme="minorHAnsi" w:cstheme="minorHAnsi"/>
        </w:rPr>
        <w:t>[2020] UKSC 19.</w:t>
      </w:r>
      <w:r w:rsidR="003D7644" w:rsidRPr="00D97CCD">
        <w:rPr>
          <w:rFonts w:asciiTheme="minorHAnsi" w:hAnsiTheme="minorHAnsi" w:cstheme="minorHAnsi"/>
        </w:rPr>
        <w:t>)</w:t>
      </w:r>
      <w:r w:rsidRPr="00D97CCD">
        <w:rPr>
          <w:rFonts w:asciiTheme="minorHAnsi" w:hAnsiTheme="minorHAnsi" w:cstheme="minorHAnsi"/>
        </w:rPr>
        <w:t xml:space="preserve"> </w:t>
      </w:r>
    </w:p>
    <w:p w14:paraId="2D21C3C9" w14:textId="21BCD309" w:rsidR="00E27694" w:rsidRPr="00D97CCD" w:rsidRDefault="00E27694" w:rsidP="001C7D7E">
      <w:pPr>
        <w:numPr>
          <w:ilvl w:val="1"/>
          <w:numId w:val="8"/>
        </w:numPr>
        <w:spacing w:after="240" w:line="360" w:lineRule="auto"/>
        <w:jc w:val="both"/>
        <w:rPr>
          <w:rFonts w:asciiTheme="minorHAnsi" w:hAnsiTheme="minorHAnsi" w:cstheme="minorHAnsi"/>
        </w:rPr>
      </w:pPr>
      <w:r w:rsidRPr="00D97CCD">
        <w:rPr>
          <w:rFonts w:asciiTheme="minorHAnsi" w:hAnsiTheme="minorHAnsi" w:cstheme="minorHAnsi"/>
        </w:rPr>
        <w:t>Has the decision</w:t>
      </w:r>
      <w:r w:rsidR="00532314" w:rsidRPr="00D97CCD">
        <w:rPr>
          <w:rFonts w:asciiTheme="minorHAnsi" w:hAnsiTheme="minorHAnsi" w:cstheme="minorHAnsi"/>
        </w:rPr>
        <w:t>-</w:t>
      </w:r>
      <w:r w:rsidRPr="00D97CCD">
        <w:rPr>
          <w:rFonts w:asciiTheme="minorHAnsi" w:hAnsiTheme="minorHAnsi" w:cstheme="minorHAnsi"/>
        </w:rPr>
        <w:t>maker got the facts they need to make the decision in question? Do further factual enquiries need to be made?</w:t>
      </w:r>
    </w:p>
    <w:p w14:paraId="0360B902" w14:textId="594ABE95" w:rsidR="00E27694" w:rsidRPr="00D97CCD" w:rsidRDefault="00E27694" w:rsidP="001C7D7E">
      <w:pPr>
        <w:numPr>
          <w:ilvl w:val="1"/>
          <w:numId w:val="8"/>
        </w:numPr>
        <w:spacing w:after="240" w:line="360" w:lineRule="auto"/>
        <w:jc w:val="both"/>
        <w:rPr>
          <w:rFonts w:asciiTheme="minorHAnsi" w:hAnsiTheme="minorHAnsi" w:cstheme="minorHAnsi"/>
        </w:rPr>
      </w:pPr>
      <w:r w:rsidRPr="00D97CCD">
        <w:rPr>
          <w:rFonts w:asciiTheme="minorHAnsi" w:hAnsiTheme="minorHAnsi" w:cstheme="minorHAnsi"/>
        </w:rPr>
        <w:t>Have all relevant considerations been identified and taken into account? Are any irrelevant considerations being considered</w:t>
      </w:r>
      <w:r w:rsidR="003D7644" w:rsidRPr="00D97CCD">
        <w:rPr>
          <w:rFonts w:asciiTheme="minorHAnsi" w:hAnsiTheme="minorHAnsi" w:cstheme="minorHAnsi"/>
        </w:rPr>
        <w:t>, which the decision</w:t>
      </w:r>
      <w:r w:rsidR="00532314" w:rsidRPr="00D97CCD">
        <w:rPr>
          <w:rFonts w:asciiTheme="minorHAnsi" w:hAnsiTheme="minorHAnsi" w:cstheme="minorHAnsi"/>
        </w:rPr>
        <w:t>-</w:t>
      </w:r>
      <w:r w:rsidR="003D7644" w:rsidRPr="00D97CCD">
        <w:rPr>
          <w:rFonts w:asciiTheme="minorHAnsi" w:hAnsiTheme="minorHAnsi" w:cstheme="minorHAnsi"/>
        </w:rPr>
        <w:t>maker needs to put out of their mind</w:t>
      </w:r>
      <w:r w:rsidRPr="00D97CCD">
        <w:rPr>
          <w:rFonts w:asciiTheme="minorHAnsi" w:hAnsiTheme="minorHAnsi" w:cstheme="minorHAnsi"/>
        </w:rPr>
        <w:t>?</w:t>
      </w:r>
    </w:p>
    <w:p w14:paraId="30A6440A" w14:textId="15C582A1" w:rsidR="00E27694" w:rsidRPr="00D97CCD" w:rsidRDefault="00E27694" w:rsidP="001C7D7E">
      <w:pPr>
        <w:numPr>
          <w:ilvl w:val="1"/>
          <w:numId w:val="8"/>
        </w:numPr>
        <w:spacing w:after="240" w:line="360" w:lineRule="auto"/>
        <w:jc w:val="both"/>
        <w:rPr>
          <w:rFonts w:asciiTheme="minorHAnsi" w:hAnsiTheme="minorHAnsi" w:cstheme="minorHAnsi"/>
        </w:rPr>
      </w:pPr>
      <w:r w:rsidRPr="00D97CCD">
        <w:rPr>
          <w:rFonts w:asciiTheme="minorHAnsi" w:hAnsiTheme="minorHAnsi" w:cstheme="minorHAnsi"/>
        </w:rPr>
        <w:lastRenderedPageBreak/>
        <w:t>Is there a need to consult or seek representations? If so, with or from whom and when</w:t>
      </w:r>
      <w:r w:rsidR="003D2579">
        <w:rPr>
          <w:rFonts w:asciiTheme="minorHAnsi" w:hAnsiTheme="minorHAnsi" w:cstheme="minorHAnsi"/>
        </w:rPr>
        <w:t xml:space="preserve"> and for how long</w:t>
      </w:r>
      <w:r w:rsidRPr="00D97CCD">
        <w:rPr>
          <w:rFonts w:asciiTheme="minorHAnsi" w:hAnsiTheme="minorHAnsi" w:cstheme="minorHAnsi"/>
        </w:rPr>
        <w:t xml:space="preserve">? Does the decision-maker understand the need to keep an open mind whilst that consultation is ongoing and does the process reflect that? </w:t>
      </w:r>
    </w:p>
    <w:p w14:paraId="758D03F4" w14:textId="77777777" w:rsidR="00E27694" w:rsidRPr="00D97CCD" w:rsidRDefault="00E27694" w:rsidP="001C7D7E">
      <w:pPr>
        <w:numPr>
          <w:ilvl w:val="1"/>
          <w:numId w:val="8"/>
        </w:numPr>
        <w:spacing w:after="240" w:line="360" w:lineRule="auto"/>
        <w:jc w:val="both"/>
        <w:rPr>
          <w:rFonts w:asciiTheme="minorHAnsi" w:hAnsiTheme="minorHAnsi" w:cstheme="minorHAnsi"/>
        </w:rPr>
      </w:pPr>
      <w:r w:rsidRPr="00D97CCD">
        <w:rPr>
          <w:rFonts w:asciiTheme="minorHAnsi" w:hAnsiTheme="minorHAnsi" w:cstheme="minorHAnsi"/>
        </w:rPr>
        <w:t>Have clear and factually correct reasons been provided for the decision?</w:t>
      </w:r>
      <w:r w:rsidR="008979AD" w:rsidRPr="00D97CCD">
        <w:rPr>
          <w:rFonts w:asciiTheme="minorHAnsi" w:hAnsiTheme="minorHAnsi" w:cstheme="minorHAnsi"/>
        </w:rPr>
        <w:t xml:space="preserve"> Allied to that, it is important to ensure there are good, contemporaneous notes of why the decision was taken</w:t>
      </w:r>
      <w:r w:rsidR="003D7644" w:rsidRPr="00D97CCD">
        <w:rPr>
          <w:rFonts w:asciiTheme="minorHAnsi" w:hAnsiTheme="minorHAnsi" w:cstheme="minorHAnsi"/>
        </w:rPr>
        <w:t xml:space="preserve"> (bearing in mind the courts’ disdain for </w:t>
      </w:r>
      <w:r w:rsidR="003D7644" w:rsidRPr="00D97CCD">
        <w:rPr>
          <w:rFonts w:asciiTheme="minorHAnsi" w:hAnsiTheme="minorHAnsi" w:cstheme="minorHAnsi"/>
          <w:i/>
        </w:rPr>
        <w:t>ex post facto</w:t>
      </w:r>
      <w:r w:rsidR="003D7644" w:rsidRPr="00D97CCD">
        <w:rPr>
          <w:rFonts w:asciiTheme="minorHAnsi" w:hAnsiTheme="minorHAnsi" w:cstheme="minorHAnsi"/>
        </w:rPr>
        <w:t xml:space="preserve"> justifications as to why a particular decision was taken)</w:t>
      </w:r>
      <w:r w:rsidR="008979AD" w:rsidRPr="00D97CCD">
        <w:rPr>
          <w:rFonts w:asciiTheme="minorHAnsi" w:hAnsiTheme="minorHAnsi" w:cstheme="minorHAnsi"/>
        </w:rPr>
        <w:t xml:space="preserve">.  </w:t>
      </w:r>
    </w:p>
    <w:p w14:paraId="3DDD9D0E" w14:textId="77777777" w:rsidR="00E27694" w:rsidRPr="00D97CCD" w:rsidRDefault="008979AD" w:rsidP="001C7D7E">
      <w:pPr>
        <w:numPr>
          <w:ilvl w:val="1"/>
          <w:numId w:val="8"/>
        </w:numPr>
        <w:spacing w:after="240" w:line="360" w:lineRule="auto"/>
        <w:jc w:val="both"/>
        <w:rPr>
          <w:rFonts w:asciiTheme="minorHAnsi" w:hAnsiTheme="minorHAnsi" w:cstheme="minorHAnsi"/>
        </w:rPr>
      </w:pPr>
      <w:r w:rsidRPr="00D97CCD">
        <w:rPr>
          <w:rFonts w:asciiTheme="minorHAnsi" w:hAnsiTheme="minorHAnsi" w:cstheme="minorHAnsi"/>
        </w:rPr>
        <w:t xml:space="preserve">Are there potential Equality Act issues? Is the Public Sector Equality Duty involved? </w:t>
      </w:r>
    </w:p>
    <w:p w14:paraId="79DEEDD6" w14:textId="77777777" w:rsidR="003D7644" w:rsidRPr="00D97CCD" w:rsidRDefault="008979AD" w:rsidP="001C7D7E">
      <w:pPr>
        <w:numPr>
          <w:ilvl w:val="1"/>
          <w:numId w:val="8"/>
        </w:numPr>
        <w:spacing w:after="240" w:line="360" w:lineRule="auto"/>
        <w:jc w:val="both"/>
        <w:rPr>
          <w:rFonts w:asciiTheme="minorHAnsi" w:hAnsiTheme="minorHAnsi" w:cstheme="minorHAnsi"/>
        </w:rPr>
      </w:pPr>
      <w:r w:rsidRPr="00D97CCD">
        <w:rPr>
          <w:rFonts w:asciiTheme="minorHAnsi" w:hAnsiTheme="minorHAnsi" w:cstheme="minorHAnsi"/>
        </w:rPr>
        <w:t xml:space="preserve">Are there possible Human Rights Act issues? </w:t>
      </w:r>
    </w:p>
    <w:p w14:paraId="78571D14" w14:textId="191698EB" w:rsidR="008979AD" w:rsidRPr="00D97CCD" w:rsidRDefault="005334AB" w:rsidP="001C7D7E">
      <w:pPr>
        <w:numPr>
          <w:ilvl w:val="1"/>
          <w:numId w:val="8"/>
        </w:numPr>
        <w:spacing w:after="240" w:line="360" w:lineRule="auto"/>
        <w:jc w:val="both"/>
        <w:rPr>
          <w:rFonts w:asciiTheme="minorHAnsi" w:hAnsiTheme="minorHAnsi" w:cstheme="minorHAnsi"/>
        </w:rPr>
      </w:pPr>
      <w:r w:rsidRPr="00D97CCD">
        <w:rPr>
          <w:rFonts w:asciiTheme="minorHAnsi" w:hAnsiTheme="minorHAnsi" w:cstheme="minorHAnsi"/>
        </w:rPr>
        <w:t xml:space="preserve">Are there issues </w:t>
      </w:r>
      <w:r w:rsidR="008C0819" w:rsidRPr="00D97CCD">
        <w:rPr>
          <w:rFonts w:asciiTheme="minorHAnsi" w:hAnsiTheme="minorHAnsi" w:cstheme="minorHAnsi"/>
        </w:rPr>
        <w:t xml:space="preserve">relating to compatibility with the UK-EU Trade and Co-operation Agreement or </w:t>
      </w:r>
      <w:r w:rsidR="00C21818" w:rsidRPr="00D97CCD">
        <w:rPr>
          <w:rFonts w:asciiTheme="minorHAnsi" w:hAnsiTheme="minorHAnsi" w:cstheme="minorHAnsi"/>
        </w:rPr>
        <w:t>other international law obligations</w:t>
      </w:r>
      <w:r w:rsidR="008979AD" w:rsidRPr="00D97CCD">
        <w:rPr>
          <w:rFonts w:asciiTheme="minorHAnsi" w:hAnsiTheme="minorHAnsi" w:cstheme="minorHAnsi"/>
        </w:rPr>
        <w:t xml:space="preserve">? </w:t>
      </w:r>
    </w:p>
    <w:p w14:paraId="41038FA9" w14:textId="57464B85" w:rsidR="003D7644" w:rsidRPr="00D97CCD" w:rsidRDefault="003D7644" w:rsidP="00CB4680">
      <w:pPr>
        <w:spacing w:after="240" w:line="360" w:lineRule="auto"/>
        <w:ind w:firstLine="720"/>
        <w:jc w:val="both"/>
        <w:rPr>
          <w:rFonts w:asciiTheme="minorHAnsi" w:hAnsiTheme="minorHAnsi" w:cstheme="minorHAnsi"/>
          <w:b/>
          <w:u w:val="single"/>
        </w:rPr>
      </w:pPr>
      <w:r w:rsidRPr="00D97CCD">
        <w:rPr>
          <w:rFonts w:asciiTheme="minorHAnsi" w:hAnsiTheme="minorHAnsi" w:cstheme="minorHAnsi"/>
          <w:b/>
          <w:u w:val="single"/>
        </w:rPr>
        <w:t xml:space="preserve">THE PRE-ACTION PROTOCOL </w:t>
      </w:r>
      <w:r w:rsidR="00DC0BE1" w:rsidRPr="00D97CCD">
        <w:rPr>
          <w:rFonts w:asciiTheme="minorHAnsi" w:hAnsiTheme="minorHAnsi" w:cstheme="minorHAnsi"/>
          <w:b/>
          <w:u w:val="single"/>
        </w:rPr>
        <w:t>STAGE</w:t>
      </w:r>
    </w:p>
    <w:p w14:paraId="40AB28ED" w14:textId="2A94F4E7" w:rsidR="00DC0BE1" w:rsidRPr="00D97CCD" w:rsidRDefault="00DC0BE1" w:rsidP="00CB4680">
      <w:pPr>
        <w:spacing w:after="240" w:line="360" w:lineRule="auto"/>
        <w:ind w:firstLine="720"/>
        <w:jc w:val="both"/>
        <w:rPr>
          <w:rFonts w:asciiTheme="minorHAnsi" w:hAnsiTheme="minorHAnsi" w:cstheme="minorHAnsi"/>
          <w:b/>
        </w:rPr>
      </w:pPr>
      <w:r w:rsidRPr="00D97CCD">
        <w:rPr>
          <w:rFonts w:asciiTheme="minorHAnsi" w:hAnsiTheme="minorHAnsi" w:cstheme="minorHAnsi"/>
          <w:b/>
        </w:rPr>
        <w:t>Initial considerations</w:t>
      </w:r>
    </w:p>
    <w:p w14:paraId="014DE079" w14:textId="4E97B2B2" w:rsidR="003D7644" w:rsidRPr="00D97CCD" w:rsidRDefault="003D7644" w:rsidP="001C7D7E">
      <w:pPr>
        <w:numPr>
          <w:ilvl w:val="0"/>
          <w:numId w:val="8"/>
        </w:numPr>
        <w:spacing w:after="240" w:line="360" w:lineRule="auto"/>
        <w:ind w:left="720" w:hanging="720"/>
        <w:jc w:val="both"/>
        <w:rPr>
          <w:rFonts w:asciiTheme="minorHAnsi" w:hAnsiTheme="minorHAnsi" w:cstheme="minorHAnsi"/>
        </w:rPr>
      </w:pPr>
      <w:r w:rsidRPr="00D97CCD">
        <w:rPr>
          <w:rFonts w:asciiTheme="minorHAnsi" w:hAnsiTheme="minorHAnsi" w:cstheme="minorHAnsi"/>
        </w:rPr>
        <w:t xml:space="preserve">As noted above, it </w:t>
      </w:r>
      <w:r w:rsidR="003D2579">
        <w:rPr>
          <w:rFonts w:asciiTheme="minorHAnsi" w:hAnsiTheme="minorHAnsi" w:cstheme="minorHAnsi"/>
        </w:rPr>
        <w:t xml:space="preserve">may be </w:t>
      </w:r>
      <w:r w:rsidRPr="00D97CCD">
        <w:rPr>
          <w:rFonts w:asciiTheme="minorHAnsi" w:hAnsiTheme="minorHAnsi" w:cstheme="minorHAnsi"/>
        </w:rPr>
        <w:t xml:space="preserve">only when a PAP </w:t>
      </w:r>
      <w:r w:rsidR="00DC0BE1" w:rsidRPr="00D97CCD">
        <w:rPr>
          <w:rFonts w:asciiTheme="minorHAnsi" w:hAnsiTheme="minorHAnsi" w:cstheme="minorHAnsi"/>
        </w:rPr>
        <w:t xml:space="preserve">letter </w:t>
      </w:r>
      <w:r w:rsidRPr="00D97CCD">
        <w:rPr>
          <w:rFonts w:asciiTheme="minorHAnsi" w:hAnsiTheme="minorHAnsi" w:cstheme="minorHAnsi"/>
        </w:rPr>
        <w:t xml:space="preserve">is received that a lawyer will become involved on the </w:t>
      </w:r>
      <w:r w:rsidR="00642D48" w:rsidRPr="00D97CCD">
        <w:rPr>
          <w:rFonts w:asciiTheme="minorHAnsi" w:hAnsiTheme="minorHAnsi" w:cstheme="minorHAnsi"/>
        </w:rPr>
        <w:t>d</w:t>
      </w:r>
      <w:r w:rsidRPr="00D97CCD">
        <w:rPr>
          <w:rFonts w:asciiTheme="minorHAnsi" w:hAnsiTheme="minorHAnsi" w:cstheme="minorHAnsi"/>
        </w:rPr>
        <w:t xml:space="preserve">efendant’s side. They will have numerous issues to consider: </w:t>
      </w:r>
    </w:p>
    <w:p w14:paraId="39298901" w14:textId="215E4D22" w:rsidR="001E0E04" w:rsidRDefault="001E0E04" w:rsidP="001C7D7E">
      <w:pPr>
        <w:numPr>
          <w:ilvl w:val="1"/>
          <w:numId w:val="8"/>
        </w:numPr>
        <w:spacing w:after="240" w:line="360" w:lineRule="auto"/>
        <w:jc w:val="both"/>
        <w:rPr>
          <w:rFonts w:asciiTheme="minorHAnsi" w:hAnsiTheme="minorHAnsi" w:cstheme="minorHAnsi"/>
        </w:rPr>
      </w:pPr>
      <w:r>
        <w:rPr>
          <w:rFonts w:asciiTheme="minorHAnsi" w:hAnsiTheme="minorHAnsi" w:cstheme="minorHAnsi"/>
        </w:rPr>
        <w:t xml:space="preserve">Their clients may need quite basic advice on what a JR involves and what the procedure will be. In central government (e.g. the Home Office) some civil servants will be very familiar with JR: for other officials this may be their first time. </w:t>
      </w:r>
    </w:p>
    <w:p w14:paraId="23A9234D" w14:textId="20CB7A8F" w:rsidR="003D7644" w:rsidRPr="00D97CCD" w:rsidRDefault="003D7644" w:rsidP="001C7D7E">
      <w:pPr>
        <w:numPr>
          <w:ilvl w:val="1"/>
          <w:numId w:val="8"/>
        </w:numPr>
        <w:spacing w:after="240" w:line="360" w:lineRule="auto"/>
        <w:jc w:val="both"/>
        <w:rPr>
          <w:rFonts w:asciiTheme="minorHAnsi" w:hAnsiTheme="minorHAnsi" w:cstheme="minorHAnsi"/>
        </w:rPr>
      </w:pPr>
      <w:r w:rsidRPr="00D97CCD">
        <w:rPr>
          <w:rFonts w:asciiTheme="minorHAnsi" w:hAnsiTheme="minorHAnsi" w:cstheme="minorHAnsi"/>
        </w:rPr>
        <w:t xml:space="preserve">Timing is tight – </w:t>
      </w:r>
      <w:r w:rsidR="00416A42" w:rsidRPr="00D97CCD">
        <w:rPr>
          <w:rFonts w:asciiTheme="minorHAnsi" w:hAnsiTheme="minorHAnsi" w:cstheme="minorHAnsi"/>
        </w:rPr>
        <w:t xml:space="preserve">usually </w:t>
      </w:r>
      <w:r w:rsidRPr="00D97CCD">
        <w:rPr>
          <w:rFonts w:asciiTheme="minorHAnsi" w:hAnsiTheme="minorHAnsi" w:cstheme="minorHAnsi"/>
        </w:rPr>
        <w:t>14 days</w:t>
      </w:r>
      <w:r w:rsidR="00416A42" w:rsidRPr="00D97CCD">
        <w:rPr>
          <w:rFonts w:asciiTheme="minorHAnsi" w:hAnsiTheme="minorHAnsi" w:cstheme="minorHAnsi"/>
        </w:rPr>
        <w:t>,</w:t>
      </w:r>
      <w:r w:rsidRPr="00D97CCD">
        <w:rPr>
          <w:rFonts w:asciiTheme="minorHAnsi" w:hAnsiTheme="minorHAnsi" w:cstheme="minorHAnsi"/>
        </w:rPr>
        <w:t xml:space="preserve"> but less if the matter is urgent. Is there a need for an extension? </w:t>
      </w:r>
    </w:p>
    <w:p w14:paraId="2ABC144C" w14:textId="343A0B75" w:rsidR="003D7644" w:rsidRPr="00D97CCD" w:rsidRDefault="003D7644" w:rsidP="001C7D7E">
      <w:pPr>
        <w:numPr>
          <w:ilvl w:val="1"/>
          <w:numId w:val="8"/>
        </w:numPr>
        <w:spacing w:after="240" w:line="360" w:lineRule="auto"/>
        <w:jc w:val="both"/>
        <w:rPr>
          <w:rFonts w:asciiTheme="minorHAnsi" w:hAnsiTheme="minorHAnsi" w:cstheme="minorHAnsi"/>
        </w:rPr>
      </w:pPr>
      <w:r w:rsidRPr="00D97CCD">
        <w:rPr>
          <w:rFonts w:asciiTheme="minorHAnsi" w:hAnsiTheme="minorHAnsi" w:cstheme="minorHAnsi"/>
        </w:rPr>
        <w:t xml:space="preserve">Is further information required from the prospective claimant? </w:t>
      </w:r>
      <w:r w:rsidR="003D2579">
        <w:rPr>
          <w:rFonts w:asciiTheme="minorHAnsi" w:hAnsiTheme="minorHAnsi" w:cstheme="minorHAnsi"/>
        </w:rPr>
        <w:t>D</w:t>
      </w:r>
      <w:r w:rsidRPr="00D97CCD">
        <w:rPr>
          <w:rFonts w:asciiTheme="minorHAnsi" w:hAnsiTheme="minorHAnsi" w:cstheme="minorHAnsi"/>
        </w:rPr>
        <w:t xml:space="preserve">oes a request for further information need to be made? </w:t>
      </w:r>
    </w:p>
    <w:p w14:paraId="0C6365FE" w14:textId="033EACBD" w:rsidR="003D7644" w:rsidRPr="00D97CCD" w:rsidRDefault="003D7644" w:rsidP="001C7D7E">
      <w:pPr>
        <w:numPr>
          <w:ilvl w:val="1"/>
          <w:numId w:val="8"/>
        </w:numPr>
        <w:spacing w:after="240" w:line="360" w:lineRule="auto"/>
        <w:jc w:val="both"/>
        <w:rPr>
          <w:rFonts w:asciiTheme="minorHAnsi" w:hAnsiTheme="minorHAnsi" w:cstheme="minorHAnsi"/>
        </w:rPr>
      </w:pPr>
      <w:r w:rsidRPr="00D97CCD">
        <w:rPr>
          <w:rFonts w:asciiTheme="minorHAnsi" w:hAnsiTheme="minorHAnsi" w:cstheme="minorHAnsi"/>
        </w:rPr>
        <w:lastRenderedPageBreak/>
        <w:t xml:space="preserve">What documents need to be looked at in order for advice to be given and when can they be provided? Think ahead to </w:t>
      </w:r>
      <w:r w:rsidR="008A1BA8" w:rsidRPr="00D97CCD">
        <w:rPr>
          <w:rFonts w:asciiTheme="minorHAnsi" w:hAnsiTheme="minorHAnsi" w:cstheme="minorHAnsi"/>
        </w:rPr>
        <w:t>potential</w:t>
      </w:r>
      <w:r w:rsidRPr="00D97CCD">
        <w:rPr>
          <w:rFonts w:asciiTheme="minorHAnsi" w:hAnsiTheme="minorHAnsi" w:cstheme="minorHAnsi"/>
        </w:rPr>
        <w:t xml:space="preserve"> obligations </w:t>
      </w:r>
      <w:r w:rsidR="008A1BA8" w:rsidRPr="00D97CCD">
        <w:rPr>
          <w:rFonts w:asciiTheme="minorHAnsi" w:hAnsiTheme="minorHAnsi" w:cstheme="minorHAnsi"/>
        </w:rPr>
        <w:t xml:space="preserve">to provide disclosure </w:t>
      </w:r>
      <w:r w:rsidRPr="00D97CCD">
        <w:rPr>
          <w:rFonts w:asciiTheme="minorHAnsi" w:hAnsiTheme="minorHAnsi" w:cstheme="minorHAnsi"/>
        </w:rPr>
        <w:t>– documents must be obtained and preserved.</w:t>
      </w:r>
      <w:r w:rsidR="003D2579">
        <w:rPr>
          <w:rFonts w:asciiTheme="minorHAnsi" w:hAnsiTheme="minorHAnsi" w:cstheme="minorHAnsi"/>
        </w:rPr>
        <w:t xml:space="preserve"> More generally on evidence: which individuals in the relevant public body have evidence about the decision and how it was taken? Who might be the appropriate person to give a witness statement in due course?</w:t>
      </w:r>
    </w:p>
    <w:p w14:paraId="5C4C69D9" w14:textId="77777777" w:rsidR="003D7644" w:rsidRPr="00D97CCD" w:rsidRDefault="003D7644" w:rsidP="001C7D7E">
      <w:pPr>
        <w:numPr>
          <w:ilvl w:val="1"/>
          <w:numId w:val="8"/>
        </w:numPr>
        <w:spacing w:after="240" w:line="360" w:lineRule="auto"/>
        <w:jc w:val="both"/>
        <w:rPr>
          <w:rFonts w:asciiTheme="minorHAnsi" w:hAnsiTheme="minorHAnsi" w:cstheme="minorHAnsi"/>
        </w:rPr>
      </w:pPr>
      <w:r w:rsidRPr="00D97CCD">
        <w:rPr>
          <w:rFonts w:asciiTheme="minorHAnsi" w:hAnsiTheme="minorHAnsi" w:cstheme="minorHAnsi"/>
        </w:rPr>
        <w:t>The big decision which has to be made is whether to concede, fight or negotiate. There may be half-way houses – e.g. if a potentially lawful decision has been arrived at by a bad process</w:t>
      </w:r>
      <w:r w:rsidR="00DC0BE1" w:rsidRPr="00D97CCD">
        <w:rPr>
          <w:rFonts w:asciiTheme="minorHAnsi" w:hAnsiTheme="minorHAnsi" w:cstheme="minorHAnsi"/>
        </w:rPr>
        <w:t xml:space="preserve"> could it be retaken?</w:t>
      </w:r>
      <w:r w:rsidRPr="00D97CCD">
        <w:rPr>
          <w:rFonts w:asciiTheme="minorHAnsi" w:hAnsiTheme="minorHAnsi" w:cstheme="minorHAnsi"/>
        </w:rPr>
        <w:t xml:space="preserve"> </w:t>
      </w:r>
      <w:r w:rsidR="00DC0BE1" w:rsidRPr="00D97CCD">
        <w:rPr>
          <w:rFonts w:asciiTheme="minorHAnsi" w:hAnsiTheme="minorHAnsi" w:cstheme="minorHAnsi"/>
        </w:rPr>
        <w:t xml:space="preserve">Advice will need to be given as to the possible responses and the risk of each: </w:t>
      </w:r>
    </w:p>
    <w:p w14:paraId="7A857E3C" w14:textId="57FE10C4" w:rsidR="00DC0BE1" w:rsidRPr="00D97CCD" w:rsidRDefault="00DC0BE1" w:rsidP="001C7D7E">
      <w:pPr>
        <w:numPr>
          <w:ilvl w:val="2"/>
          <w:numId w:val="8"/>
        </w:numPr>
        <w:spacing w:after="240" w:line="360" w:lineRule="auto"/>
        <w:jc w:val="both"/>
        <w:rPr>
          <w:rFonts w:asciiTheme="minorHAnsi" w:hAnsiTheme="minorHAnsi" w:cstheme="minorHAnsi"/>
        </w:rPr>
      </w:pPr>
      <w:r w:rsidRPr="00D97CCD">
        <w:rPr>
          <w:rFonts w:asciiTheme="minorHAnsi" w:hAnsiTheme="minorHAnsi" w:cstheme="minorHAnsi"/>
        </w:rPr>
        <w:t xml:space="preserve">What are the risks involved? Legal? Reputational? </w:t>
      </w:r>
      <w:r w:rsidR="003D2579">
        <w:rPr>
          <w:rFonts w:asciiTheme="minorHAnsi" w:hAnsiTheme="minorHAnsi" w:cstheme="minorHAnsi"/>
        </w:rPr>
        <w:t xml:space="preserve">Political? </w:t>
      </w:r>
      <w:r w:rsidRPr="00D97CCD">
        <w:rPr>
          <w:rFonts w:asciiTheme="minorHAnsi" w:hAnsiTheme="minorHAnsi" w:cstheme="minorHAnsi"/>
        </w:rPr>
        <w:t xml:space="preserve">Is there a bigger picture to consider? Will the decision taken here have an impact on other cases? </w:t>
      </w:r>
    </w:p>
    <w:p w14:paraId="6E48C891" w14:textId="77777777" w:rsidR="00DC0BE1" w:rsidRPr="00D97CCD" w:rsidRDefault="00DC0BE1" w:rsidP="001C7D7E">
      <w:pPr>
        <w:numPr>
          <w:ilvl w:val="2"/>
          <w:numId w:val="8"/>
        </w:numPr>
        <w:spacing w:after="240" w:line="360" w:lineRule="auto"/>
        <w:jc w:val="both"/>
        <w:rPr>
          <w:rFonts w:asciiTheme="minorHAnsi" w:hAnsiTheme="minorHAnsi" w:cstheme="minorHAnsi"/>
        </w:rPr>
      </w:pPr>
      <w:r w:rsidRPr="00D97CCD">
        <w:rPr>
          <w:rFonts w:asciiTheme="minorHAnsi" w:hAnsiTheme="minorHAnsi" w:cstheme="minorHAnsi"/>
        </w:rPr>
        <w:t xml:space="preserve">How much will it cost to defend? Is the game worth the candle? </w:t>
      </w:r>
    </w:p>
    <w:p w14:paraId="79435DC8" w14:textId="77777777" w:rsidR="00DC0BE1" w:rsidRPr="00D97CCD" w:rsidRDefault="00DC0BE1" w:rsidP="001C7D7E">
      <w:pPr>
        <w:numPr>
          <w:ilvl w:val="2"/>
          <w:numId w:val="8"/>
        </w:numPr>
        <w:spacing w:after="240" w:line="360" w:lineRule="auto"/>
        <w:jc w:val="both"/>
        <w:rPr>
          <w:rFonts w:asciiTheme="minorHAnsi" w:hAnsiTheme="minorHAnsi" w:cstheme="minorHAnsi"/>
        </w:rPr>
      </w:pPr>
      <w:r w:rsidRPr="00D97CCD">
        <w:rPr>
          <w:rFonts w:asciiTheme="minorHAnsi" w:hAnsiTheme="minorHAnsi" w:cstheme="minorHAnsi"/>
        </w:rPr>
        <w:t xml:space="preserve">Would now be a good time to seek advice from counsel? </w:t>
      </w:r>
    </w:p>
    <w:p w14:paraId="2871AC48" w14:textId="77777777" w:rsidR="003D7644" w:rsidRPr="00D97CCD" w:rsidRDefault="003D7644" w:rsidP="001C7D7E">
      <w:pPr>
        <w:numPr>
          <w:ilvl w:val="1"/>
          <w:numId w:val="8"/>
        </w:numPr>
        <w:spacing w:after="240" w:line="360" w:lineRule="auto"/>
        <w:jc w:val="both"/>
        <w:rPr>
          <w:rFonts w:asciiTheme="minorHAnsi" w:hAnsiTheme="minorHAnsi" w:cstheme="minorHAnsi"/>
        </w:rPr>
      </w:pPr>
      <w:r w:rsidRPr="00D97CCD">
        <w:rPr>
          <w:rFonts w:asciiTheme="minorHAnsi" w:hAnsiTheme="minorHAnsi" w:cstheme="minorHAnsi"/>
        </w:rPr>
        <w:t xml:space="preserve">The lawyer will </w:t>
      </w:r>
      <w:r w:rsidR="00DC0BE1" w:rsidRPr="00D97CCD">
        <w:rPr>
          <w:rFonts w:asciiTheme="minorHAnsi" w:hAnsiTheme="minorHAnsi" w:cstheme="minorHAnsi"/>
        </w:rPr>
        <w:t xml:space="preserve">also </w:t>
      </w:r>
      <w:r w:rsidRPr="00D97CCD">
        <w:rPr>
          <w:rFonts w:asciiTheme="minorHAnsi" w:hAnsiTheme="minorHAnsi" w:cstheme="minorHAnsi"/>
        </w:rPr>
        <w:t xml:space="preserve">need to consider which individual(s), within the public authority or government department, needs to make </w:t>
      </w:r>
      <w:r w:rsidR="00DC0BE1" w:rsidRPr="00D97CCD">
        <w:rPr>
          <w:rFonts w:asciiTheme="minorHAnsi" w:hAnsiTheme="minorHAnsi" w:cstheme="minorHAnsi"/>
        </w:rPr>
        <w:t>the decision on how to progress</w:t>
      </w:r>
      <w:r w:rsidRPr="00D97CCD">
        <w:rPr>
          <w:rFonts w:asciiTheme="minorHAnsi" w:hAnsiTheme="minorHAnsi" w:cstheme="minorHAnsi"/>
        </w:rPr>
        <w:t xml:space="preserve"> and who they therefore need instructions from.</w:t>
      </w:r>
    </w:p>
    <w:p w14:paraId="537E125C" w14:textId="6C105129" w:rsidR="008A1BA8" w:rsidRPr="00D97CCD" w:rsidRDefault="008A1BA8" w:rsidP="001C7D7E">
      <w:pPr>
        <w:numPr>
          <w:ilvl w:val="1"/>
          <w:numId w:val="8"/>
        </w:numPr>
        <w:spacing w:after="240" w:line="360" w:lineRule="auto"/>
        <w:jc w:val="both"/>
        <w:rPr>
          <w:rFonts w:asciiTheme="minorHAnsi" w:hAnsiTheme="minorHAnsi" w:cstheme="minorHAnsi"/>
        </w:rPr>
      </w:pPr>
      <w:r w:rsidRPr="00D97CCD">
        <w:rPr>
          <w:rFonts w:asciiTheme="minorHAnsi" w:hAnsiTheme="minorHAnsi" w:cstheme="minorHAnsi"/>
        </w:rPr>
        <w:t xml:space="preserve">The duty of candour applies throughout JR proceedings, including at the PAP response stage: </w:t>
      </w:r>
      <w:r w:rsidR="00C81FED" w:rsidRPr="00D97CCD">
        <w:rPr>
          <w:rFonts w:asciiTheme="minorHAnsi" w:hAnsiTheme="minorHAnsi" w:cstheme="minorHAnsi"/>
          <w:i/>
          <w:iCs/>
        </w:rPr>
        <w:t>Administrative Court Guide 2024</w:t>
      </w:r>
      <w:r w:rsidR="00C81FED" w:rsidRPr="00D97CCD">
        <w:rPr>
          <w:rFonts w:asciiTheme="minorHAnsi" w:hAnsiTheme="minorHAnsi" w:cstheme="minorHAnsi"/>
        </w:rPr>
        <w:t xml:space="preserve">, </w:t>
      </w:r>
      <w:r w:rsidR="0081387B" w:rsidRPr="00D97CCD">
        <w:rPr>
          <w:rFonts w:asciiTheme="minorHAnsi" w:hAnsiTheme="minorHAnsi" w:cstheme="minorHAnsi"/>
        </w:rPr>
        <w:t>§15.3.2.</w:t>
      </w:r>
    </w:p>
    <w:p w14:paraId="2BEB0BEB" w14:textId="0003A68A" w:rsidR="00DC0BE1" w:rsidRPr="00D97CCD" w:rsidRDefault="00DC0BE1" w:rsidP="00691842">
      <w:pPr>
        <w:spacing w:after="240" w:line="360" w:lineRule="auto"/>
        <w:ind w:firstLine="720"/>
        <w:jc w:val="both"/>
        <w:rPr>
          <w:rFonts w:asciiTheme="minorHAnsi" w:hAnsiTheme="minorHAnsi" w:cstheme="minorHAnsi"/>
          <w:b/>
        </w:rPr>
      </w:pPr>
      <w:r w:rsidRPr="00D97CCD">
        <w:rPr>
          <w:rFonts w:asciiTheme="minorHAnsi" w:hAnsiTheme="minorHAnsi" w:cstheme="minorHAnsi"/>
          <w:b/>
        </w:rPr>
        <w:t>The PAP Response</w:t>
      </w:r>
    </w:p>
    <w:p w14:paraId="7334EDF7" w14:textId="1DAEB023" w:rsidR="00DC0BE1" w:rsidRPr="00D97CCD" w:rsidRDefault="00DC0BE1" w:rsidP="001C7D7E">
      <w:pPr>
        <w:numPr>
          <w:ilvl w:val="0"/>
          <w:numId w:val="8"/>
        </w:numPr>
        <w:spacing w:after="240" w:line="360" w:lineRule="auto"/>
        <w:ind w:left="720" w:hanging="720"/>
        <w:jc w:val="both"/>
        <w:rPr>
          <w:rFonts w:asciiTheme="minorHAnsi" w:hAnsiTheme="minorHAnsi" w:cstheme="minorHAnsi"/>
        </w:rPr>
      </w:pPr>
      <w:r w:rsidRPr="00D97CCD">
        <w:rPr>
          <w:rFonts w:asciiTheme="minorHAnsi" w:hAnsiTheme="minorHAnsi" w:cstheme="minorHAnsi"/>
        </w:rPr>
        <w:t xml:space="preserve">The above considerations will of course all feed into the ultimate PAP response. That response needs to clearly and succinctly set out what the </w:t>
      </w:r>
      <w:r w:rsidR="00BB2631" w:rsidRPr="00D97CCD">
        <w:rPr>
          <w:rFonts w:asciiTheme="minorHAnsi" w:hAnsiTheme="minorHAnsi" w:cstheme="minorHAnsi"/>
        </w:rPr>
        <w:t>d</w:t>
      </w:r>
      <w:r w:rsidRPr="00D97CCD">
        <w:rPr>
          <w:rFonts w:asciiTheme="minorHAnsi" w:hAnsiTheme="minorHAnsi" w:cstheme="minorHAnsi"/>
        </w:rPr>
        <w:t xml:space="preserve">efendant’s response will be if the claim is pursued. There are costs risks if the PAP response is inaccurate or inadequate (see </w:t>
      </w:r>
      <w:r w:rsidR="00963EDB" w:rsidRPr="00D97CCD">
        <w:rPr>
          <w:rFonts w:asciiTheme="minorHAnsi" w:hAnsiTheme="minorHAnsi" w:cstheme="minorHAnsi"/>
          <w:i/>
        </w:rPr>
        <w:t>R (M) v Croydon London Borough Council</w:t>
      </w:r>
      <w:r w:rsidR="00963EDB" w:rsidRPr="00D97CCD">
        <w:rPr>
          <w:rFonts w:asciiTheme="minorHAnsi" w:hAnsiTheme="minorHAnsi" w:cstheme="minorHAnsi"/>
        </w:rPr>
        <w:t xml:space="preserve"> [2012] EWCA </w:t>
      </w:r>
      <w:proofErr w:type="spellStart"/>
      <w:r w:rsidR="00963EDB" w:rsidRPr="00D97CCD">
        <w:rPr>
          <w:rFonts w:asciiTheme="minorHAnsi" w:hAnsiTheme="minorHAnsi" w:cstheme="minorHAnsi"/>
        </w:rPr>
        <w:t>Civ</w:t>
      </w:r>
      <w:proofErr w:type="spellEnd"/>
      <w:r w:rsidR="00963EDB" w:rsidRPr="00D97CCD">
        <w:rPr>
          <w:rFonts w:asciiTheme="minorHAnsi" w:hAnsiTheme="minorHAnsi" w:cstheme="minorHAnsi"/>
        </w:rPr>
        <w:t xml:space="preserve"> 595</w:t>
      </w:r>
      <w:r w:rsidRPr="00D97CCD">
        <w:rPr>
          <w:rFonts w:asciiTheme="minorHAnsi" w:hAnsiTheme="minorHAnsi" w:cstheme="minorHAnsi"/>
        </w:rPr>
        <w:t xml:space="preserve">). It also needs to advance the </w:t>
      </w:r>
      <w:r w:rsidR="00BB2631" w:rsidRPr="00D97CCD">
        <w:rPr>
          <w:rFonts w:asciiTheme="minorHAnsi" w:hAnsiTheme="minorHAnsi" w:cstheme="minorHAnsi"/>
        </w:rPr>
        <w:t>d</w:t>
      </w:r>
      <w:r w:rsidRPr="00D97CCD">
        <w:rPr>
          <w:rFonts w:asciiTheme="minorHAnsi" w:hAnsiTheme="minorHAnsi" w:cstheme="minorHAnsi"/>
        </w:rPr>
        <w:t xml:space="preserve">efendant’s strategic objectives bearing in mind the assessment of risk. </w:t>
      </w:r>
    </w:p>
    <w:p w14:paraId="509A1464" w14:textId="31639A8D" w:rsidR="00DC0BE1" w:rsidRPr="00D97CCD" w:rsidRDefault="00DC0BE1" w:rsidP="001C7D7E">
      <w:pPr>
        <w:numPr>
          <w:ilvl w:val="0"/>
          <w:numId w:val="8"/>
        </w:numPr>
        <w:spacing w:after="240" w:line="360" w:lineRule="auto"/>
        <w:ind w:left="720" w:hanging="720"/>
        <w:jc w:val="both"/>
        <w:rPr>
          <w:rFonts w:asciiTheme="minorHAnsi" w:hAnsiTheme="minorHAnsi" w:cstheme="minorHAnsi"/>
        </w:rPr>
      </w:pPr>
      <w:r w:rsidRPr="00D97CCD">
        <w:rPr>
          <w:rFonts w:asciiTheme="minorHAnsi" w:hAnsiTheme="minorHAnsi" w:cstheme="minorHAnsi"/>
        </w:rPr>
        <w:lastRenderedPageBreak/>
        <w:t xml:space="preserve">Considerations that will always be in play when a </w:t>
      </w:r>
      <w:r w:rsidR="00BB2631" w:rsidRPr="00D97CCD">
        <w:rPr>
          <w:rFonts w:asciiTheme="minorHAnsi" w:hAnsiTheme="minorHAnsi" w:cstheme="minorHAnsi"/>
        </w:rPr>
        <w:t>d</w:t>
      </w:r>
      <w:r w:rsidRPr="00D97CCD">
        <w:rPr>
          <w:rFonts w:asciiTheme="minorHAnsi" w:hAnsiTheme="minorHAnsi" w:cstheme="minorHAnsi"/>
        </w:rPr>
        <w:t xml:space="preserve">efendant is answering a PAP response (and which you, as </w:t>
      </w:r>
      <w:r w:rsidR="00BB2631" w:rsidRPr="00D97CCD">
        <w:rPr>
          <w:rFonts w:asciiTheme="minorHAnsi" w:hAnsiTheme="minorHAnsi" w:cstheme="minorHAnsi"/>
        </w:rPr>
        <w:t>c</w:t>
      </w:r>
      <w:r w:rsidRPr="00D97CCD">
        <w:rPr>
          <w:rFonts w:asciiTheme="minorHAnsi" w:hAnsiTheme="minorHAnsi" w:cstheme="minorHAnsi"/>
        </w:rPr>
        <w:t xml:space="preserve">laimant lawyers, therefore </w:t>
      </w:r>
      <w:r w:rsidR="00E70CC9" w:rsidRPr="00D97CCD">
        <w:rPr>
          <w:rFonts w:asciiTheme="minorHAnsi" w:hAnsiTheme="minorHAnsi" w:cstheme="minorHAnsi"/>
        </w:rPr>
        <w:t>need to anticipate</w:t>
      </w:r>
      <w:r w:rsidRPr="00D97CCD">
        <w:rPr>
          <w:rFonts w:asciiTheme="minorHAnsi" w:hAnsiTheme="minorHAnsi" w:cstheme="minorHAnsi"/>
        </w:rPr>
        <w:t xml:space="preserve">) include: </w:t>
      </w:r>
    </w:p>
    <w:p w14:paraId="420D1D50" w14:textId="77777777" w:rsidR="00DC0BE1" w:rsidRPr="00D97CCD" w:rsidRDefault="00DC0BE1" w:rsidP="001C7D7E">
      <w:pPr>
        <w:numPr>
          <w:ilvl w:val="1"/>
          <w:numId w:val="8"/>
        </w:numPr>
        <w:spacing w:after="240" w:line="360" w:lineRule="auto"/>
        <w:jc w:val="both"/>
        <w:rPr>
          <w:rFonts w:asciiTheme="minorHAnsi" w:hAnsiTheme="minorHAnsi" w:cstheme="minorHAnsi"/>
        </w:rPr>
      </w:pPr>
      <w:r w:rsidRPr="00D97CCD">
        <w:rPr>
          <w:rFonts w:asciiTheme="minorHAnsi" w:hAnsiTheme="minorHAnsi" w:cstheme="minorHAnsi"/>
        </w:rPr>
        <w:t xml:space="preserve">Time: is the claim within three months and/or has it been brought promptly? </w:t>
      </w:r>
    </w:p>
    <w:p w14:paraId="0C2A6FDD" w14:textId="77777777" w:rsidR="00DC0BE1" w:rsidRPr="00D97CCD" w:rsidRDefault="00DC0BE1" w:rsidP="001C7D7E">
      <w:pPr>
        <w:numPr>
          <w:ilvl w:val="1"/>
          <w:numId w:val="8"/>
        </w:numPr>
        <w:spacing w:after="240" w:line="360" w:lineRule="auto"/>
        <w:jc w:val="both"/>
        <w:rPr>
          <w:rFonts w:asciiTheme="minorHAnsi" w:hAnsiTheme="minorHAnsi" w:cstheme="minorHAnsi"/>
        </w:rPr>
      </w:pPr>
      <w:r w:rsidRPr="00D97CCD">
        <w:rPr>
          <w:rFonts w:asciiTheme="minorHAnsi" w:hAnsiTheme="minorHAnsi" w:cstheme="minorHAnsi"/>
        </w:rPr>
        <w:t xml:space="preserve">Alternative remedy: is there an alternative appeal / review/ body which could look at the issue? </w:t>
      </w:r>
    </w:p>
    <w:p w14:paraId="5312370B" w14:textId="77777777" w:rsidR="00DC0BE1" w:rsidRPr="00D97CCD" w:rsidRDefault="00DC0BE1" w:rsidP="001C7D7E">
      <w:pPr>
        <w:numPr>
          <w:ilvl w:val="1"/>
          <w:numId w:val="8"/>
        </w:numPr>
        <w:spacing w:after="240" w:line="360" w:lineRule="auto"/>
        <w:jc w:val="both"/>
        <w:rPr>
          <w:rFonts w:asciiTheme="minorHAnsi" w:hAnsiTheme="minorHAnsi" w:cstheme="minorHAnsi"/>
        </w:rPr>
      </w:pPr>
      <w:r w:rsidRPr="00D97CCD">
        <w:rPr>
          <w:rFonts w:asciiTheme="minorHAnsi" w:hAnsiTheme="minorHAnsi" w:cstheme="minorHAnsi"/>
        </w:rPr>
        <w:t xml:space="preserve">Justiciability: is the subject matter of the claim suitable to judicial resolution? </w:t>
      </w:r>
    </w:p>
    <w:p w14:paraId="7CD67EF4" w14:textId="54917304" w:rsidR="003D7644" w:rsidRPr="00D97CCD" w:rsidRDefault="00E70CC9" w:rsidP="001C7D7E">
      <w:pPr>
        <w:numPr>
          <w:ilvl w:val="0"/>
          <w:numId w:val="8"/>
        </w:numPr>
        <w:spacing w:after="240" w:line="360" w:lineRule="auto"/>
        <w:ind w:left="720" w:hanging="720"/>
        <w:jc w:val="both"/>
        <w:rPr>
          <w:rFonts w:asciiTheme="minorHAnsi" w:hAnsiTheme="minorHAnsi" w:cstheme="minorHAnsi"/>
        </w:rPr>
      </w:pPr>
      <w:r w:rsidRPr="00D97CCD">
        <w:rPr>
          <w:rFonts w:asciiTheme="minorHAnsi" w:hAnsiTheme="minorHAnsi" w:cstheme="minorHAnsi"/>
        </w:rPr>
        <w:t>Each of those could represent a knock</w:t>
      </w:r>
      <w:r w:rsidR="006B7127" w:rsidRPr="00D97CCD">
        <w:rPr>
          <w:rFonts w:asciiTheme="minorHAnsi" w:hAnsiTheme="minorHAnsi" w:cstheme="minorHAnsi"/>
        </w:rPr>
        <w:t>-</w:t>
      </w:r>
      <w:r w:rsidRPr="00D97CCD">
        <w:rPr>
          <w:rFonts w:asciiTheme="minorHAnsi" w:hAnsiTheme="minorHAnsi" w:cstheme="minorHAnsi"/>
        </w:rPr>
        <w:t xml:space="preserve">out blow. A further question which arises is whether the prospective claimant is labouring under some kind of factual misapprehension. It does sometimes happen that people just get the wrong end of the stick. Allied to that, consideration will need to be given to what the duty of candour requires and whether disclosure of anything more (even if not required) would clear up any misapprehension. </w:t>
      </w:r>
    </w:p>
    <w:p w14:paraId="4BD14E4D" w14:textId="77777777" w:rsidR="00E70CC9" w:rsidRPr="00D97CCD" w:rsidRDefault="00E70CC9" w:rsidP="001C7D7E">
      <w:pPr>
        <w:numPr>
          <w:ilvl w:val="0"/>
          <w:numId w:val="8"/>
        </w:numPr>
        <w:spacing w:after="240" w:line="360" w:lineRule="auto"/>
        <w:ind w:left="720" w:hanging="720"/>
        <w:jc w:val="both"/>
        <w:rPr>
          <w:rFonts w:asciiTheme="minorHAnsi" w:hAnsiTheme="minorHAnsi" w:cstheme="minorHAnsi"/>
        </w:rPr>
      </w:pPr>
      <w:r w:rsidRPr="00D97CCD">
        <w:rPr>
          <w:rFonts w:asciiTheme="minorHAnsi" w:hAnsiTheme="minorHAnsi" w:cstheme="minorHAnsi"/>
        </w:rPr>
        <w:t>Finally, is there any scope for agreement or resolution of the dispute? If so, how might the parties go about reaching that agreement? Would it be worthwhile proposing an immediate stay upon issue?</w:t>
      </w:r>
    </w:p>
    <w:p w14:paraId="37B5BCF6" w14:textId="55D4FD38" w:rsidR="009B7A01" w:rsidRPr="00D97CCD" w:rsidRDefault="00963EDB" w:rsidP="00CB4680">
      <w:pPr>
        <w:spacing w:after="240" w:line="360" w:lineRule="auto"/>
        <w:ind w:firstLine="720"/>
        <w:jc w:val="both"/>
        <w:rPr>
          <w:rFonts w:asciiTheme="minorHAnsi" w:hAnsiTheme="minorHAnsi" w:cstheme="minorHAnsi"/>
          <w:b/>
          <w:u w:val="single"/>
        </w:rPr>
      </w:pPr>
      <w:r w:rsidRPr="00D97CCD">
        <w:rPr>
          <w:rFonts w:asciiTheme="minorHAnsi" w:hAnsiTheme="minorHAnsi" w:cstheme="minorHAnsi"/>
          <w:b/>
          <w:u w:val="single"/>
        </w:rPr>
        <w:t xml:space="preserve">THE </w:t>
      </w:r>
      <w:r w:rsidR="009B7A01" w:rsidRPr="00D97CCD">
        <w:rPr>
          <w:rFonts w:asciiTheme="minorHAnsi" w:hAnsiTheme="minorHAnsi" w:cstheme="minorHAnsi"/>
          <w:b/>
          <w:u w:val="single"/>
        </w:rPr>
        <w:t>PERMISSION</w:t>
      </w:r>
      <w:r w:rsidRPr="00D97CCD">
        <w:rPr>
          <w:rFonts w:asciiTheme="minorHAnsi" w:hAnsiTheme="minorHAnsi" w:cstheme="minorHAnsi"/>
          <w:b/>
          <w:u w:val="single"/>
        </w:rPr>
        <w:t xml:space="preserve"> STAGE</w:t>
      </w:r>
      <w:r w:rsidR="009B7A01" w:rsidRPr="00D97CCD">
        <w:rPr>
          <w:rFonts w:asciiTheme="minorHAnsi" w:hAnsiTheme="minorHAnsi" w:cstheme="minorHAnsi"/>
          <w:b/>
          <w:u w:val="single"/>
        </w:rPr>
        <w:t xml:space="preserve"> </w:t>
      </w:r>
    </w:p>
    <w:p w14:paraId="521EECCD" w14:textId="77777777" w:rsidR="00F8754A" w:rsidRPr="00D97CCD" w:rsidRDefault="00F8754A" w:rsidP="00CB4680">
      <w:pPr>
        <w:spacing w:after="240" w:line="360" w:lineRule="auto"/>
        <w:ind w:firstLine="720"/>
        <w:jc w:val="both"/>
        <w:rPr>
          <w:rFonts w:asciiTheme="minorHAnsi" w:hAnsiTheme="minorHAnsi" w:cstheme="minorHAnsi"/>
          <w:b/>
        </w:rPr>
      </w:pPr>
      <w:r w:rsidRPr="00D97CCD">
        <w:rPr>
          <w:rFonts w:asciiTheme="minorHAnsi" w:hAnsiTheme="minorHAnsi" w:cstheme="minorHAnsi"/>
          <w:b/>
        </w:rPr>
        <w:t>The Summary Grounds of Resistance</w:t>
      </w:r>
    </w:p>
    <w:p w14:paraId="076F6099" w14:textId="48D7CA9A" w:rsidR="00F8754A" w:rsidRPr="00D97CCD" w:rsidRDefault="00F8754A" w:rsidP="001C7D7E">
      <w:pPr>
        <w:numPr>
          <w:ilvl w:val="0"/>
          <w:numId w:val="8"/>
        </w:numPr>
        <w:spacing w:after="240" w:line="360" w:lineRule="auto"/>
        <w:ind w:left="720" w:hanging="720"/>
        <w:jc w:val="both"/>
        <w:rPr>
          <w:rFonts w:asciiTheme="minorHAnsi" w:hAnsiTheme="minorHAnsi" w:cstheme="minorHAnsi"/>
        </w:rPr>
      </w:pPr>
      <w:r w:rsidRPr="00D97CCD">
        <w:rPr>
          <w:rFonts w:asciiTheme="minorHAnsi" w:hAnsiTheme="minorHAnsi" w:cstheme="minorHAnsi"/>
        </w:rPr>
        <w:t xml:space="preserve">Before drafting work begins on the Summary Grounds of Resistance, one needs to carefully look at the Detailed Facts and Grounds and any evidence relied upon by the </w:t>
      </w:r>
      <w:r w:rsidR="00BB2631" w:rsidRPr="00D97CCD">
        <w:rPr>
          <w:rFonts w:asciiTheme="minorHAnsi" w:hAnsiTheme="minorHAnsi" w:cstheme="minorHAnsi"/>
        </w:rPr>
        <w:t>c</w:t>
      </w:r>
      <w:r w:rsidRPr="00D97CCD">
        <w:rPr>
          <w:rFonts w:asciiTheme="minorHAnsi" w:hAnsiTheme="minorHAnsi" w:cstheme="minorHAnsi"/>
        </w:rPr>
        <w:t xml:space="preserve">laimants, re-assess the risks and the merits and advise the client. </w:t>
      </w:r>
    </w:p>
    <w:p w14:paraId="56D9852E" w14:textId="351F8C8D" w:rsidR="00F8754A" w:rsidRPr="00D97CCD" w:rsidRDefault="00F8754A" w:rsidP="001C7D7E">
      <w:pPr>
        <w:numPr>
          <w:ilvl w:val="0"/>
          <w:numId w:val="8"/>
        </w:numPr>
        <w:spacing w:after="240" w:line="360" w:lineRule="auto"/>
        <w:ind w:left="720" w:hanging="720"/>
        <w:jc w:val="both"/>
        <w:rPr>
          <w:rFonts w:asciiTheme="minorHAnsi" w:hAnsiTheme="minorHAnsi" w:cstheme="minorHAnsi"/>
        </w:rPr>
      </w:pPr>
      <w:r w:rsidRPr="00D97CCD">
        <w:rPr>
          <w:rFonts w:asciiTheme="minorHAnsi" w:hAnsiTheme="minorHAnsi" w:cstheme="minorHAnsi"/>
        </w:rPr>
        <w:t xml:space="preserve">Timing must be checked in the first instance. A </w:t>
      </w:r>
      <w:r w:rsidR="00BB2631" w:rsidRPr="00D97CCD">
        <w:rPr>
          <w:rFonts w:asciiTheme="minorHAnsi" w:hAnsiTheme="minorHAnsi" w:cstheme="minorHAnsi"/>
        </w:rPr>
        <w:t>d</w:t>
      </w:r>
      <w:r w:rsidRPr="00D97CCD">
        <w:rPr>
          <w:rFonts w:asciiTheme="minorHAnsi" w:hAnsiTheme="minorHAnsi" w:cstheme="minorHAnsi"/>
        </w:rPr>
        <w:t xml:space="preserve">efendant usually has 21 days for the Summary Grounds, but that can be abridged if the matter is urgent. If more time is likely to be needed, it needs to be asked for and (in the absence of consent) applied for before the period expires. </w:t>
      </w:r>
    </w:p>
    <w:p w14:paraId="71D70701" w14:textId="77777777" w:rsidR="00F8754A" w:rsidRPr="00D97CCD" w:rsidRDefault="00F8754A" w:rsidP="001C7D7E">
      <w:pPr>
        <w:numPr>
          <w:ilvl w:val="0"/>
          <w:numId w:val="8"/>
        </w:numPr>
        <w:spacing w:after="240" w:line="360" w:lineRule="auto"/>
        <w:ind w:left="720" w:hanging="720"/>
        <w:jc w:val="both"/>
        <w:rPr>
          <w:rFonts w:asciiTheme="minorHAnsi" w:hAnsiTheme="minorHAnsi" w:cstheme="minorHAnsi"/>
        </w:rPr>
      </w:pPr>
      <w:r w:rsidRPr="00D97CCD">
        <w:rPr>
          <w:rFonts w:asciiTheme="minorHAnsi" w:hAnsiTheme="minorHAnsi" w:cstheme="minorHAnsi"/>
        </w:rPr>
        <w:t xml:space="preserve">If pressing ahead, the following questions should be considered: </w:t>
      </w:r>
    </w:p>
    <w:p w14:paraId="6134B4A3" w14:textId="77777777" w:rsidR="00F8754A" w:rsidRPr="00D97CCD" w:rsidRDefault="00F8754A" w:rsidP="001C7D7E">
      <w:pPr>
        <w:numPr>
          <w:ilvl w:val="1"/>
          <w:numId w:val="8"/>
        </w:numPr>
        <w:spacing w:after="240" w:line="360" w:lineRule="auto"/>
        <w:jc w:val="both"/>
        <w:rPr>
          <w:rFonts w:asciiTheme="minorHAnsi" w:hAnsiTheme="minorHAnsi" w:cstheme="minorHAnsi"/>
        </w:rPr>
      </w:pPr>
      <w:proofErr w:type="spellStart"/>
      <w:r w:rsidRPr="00D97CCD">
        <w:rPr>
          <w:rFonts w:asciiTheme="minorHAnsi" w:hAnsiTheme="minorHAnsi" w:cstheme="minorHAnsi"/>
        </w:rPr>
        <w:t>Ought</w:t>
      </w:r>
      <w:proofErr w:type="spellEnd"/>
      <w:r w:rsidRPr="00D97CCD">
        <w:rPr>
          <w:rFonts w:asciiTheme="minorHAnsi" w:hAnsiTheme="minorHAnsi" w:cstheme="minorHAnsi"/>
        </w:rPr>
        <w:t xml:space="preserve"> permission to be conceded?</w:t>
      </w:r>
    </w:p>
    <w:p w14:paraId="3E02B40C" w14:textId="77777777" w:rsidR="00F8754A" w:rsidRPr="00D97CCD" w:rsidRDefault="00F8754A" w:rsidP="001C7D7E">
      <w:pPr>
        <w:numPr>
          <w:ilvl w:val="1"/>
          <w:numId w:val="8"/>
        </w:numPr>
        <w:spacing w:after="240" w:line="360" w:lineRule="auto"/>
        <w:jc w:val="both"/>
        <w:rPr>
          <w:rFonts w:asciiTheme="minorHAnsi" w:hAnsiTheme="minorHAnsi" w:cstheme="minorHAnsi"/>
        </w:rPr>
      </w:pPr>
      <w:r w:rsidRPr="00D97CCD">
        <w:rPr>
          <w:rFonts w:asciiTheme="minorHAnsi" w:hAnsiTheme="minorHAnsi" w:cstheme="minorHAnsi"/>
        </w:rPr>
        <w:lastRenderedPageBreak/>
        <w:t xml:space="preserve">Ought counsel to be instructed? </w:t>
      </w:r>
    </w:p>
    <w:p w14:paraId="08C1FA3E" w14:textId="7BD6C7BC" w:rsidR="00F8754A" w:rsidRPr="00D97CCD" w:rsidRDefault="00F8754A" w:rsidP="001C7D7E">
      <w:pPr>
        <w:numPr>
          <w:ilvl w:val="1"/>
          <w:numId w:val="8"/>
        </w:numPr>
        <w:spacing w:after="240" w:line="360" w:lineRule="auto"/>
        <w:jc w:val="both"/>
        <w:rPr>
          <w:rFonts w:asciiTheme="minorHAnsi" w:hAnsiTheme="minorHAnsi" w:cstheme="minorHAnsi"/>
        </w:rPr>
      </w:pPr>
      <w:r w:rsidRPr="00D97CCD">
        <w:rPr>
          <w:rFonts w:asciiTheme="minorHAnsi" w:hAnsiTheme="minorHAnsi" w:cstheme="minorHAnsi"/>
        </w:rPr>
        <w:t>Again, are there any knock-out blows (timing etc)?</w:t>
      </w:r>
      <w:r w:rsidR="008728EC">
        <w:rPr>
          <w:rFonts w:asciiTheme="minorHAnsi" w:hAnsiTheme="minorHAnsi" w:cstheme="minorHAnsi"/>
        </w:rPr>
        <w:t xml:space="preserve"> N</w:t>
      </w:r>
      <w:r w:rsidR="00C86A44">
        <w:rPr>
          <w:rFonts w:asciiTheme="minorHAnsi" w:hAnsiTheme="minorHAnsi" w:cstheme="minorHAnsi"/>
        </w:rPr>
        <w:t>ote failure to bring a claim “promptly” may be grounds</w:t>
      </w:r>
      <w:r w:rsidR="00FB2EA1">
        <w:rPr>
          <w:rFonts w:asciiTheme="minorHAnsi" w:hAnsiTheme="minorHAnsi" w:cstheme="minorHAnsi"/>
        </w:rPr>
        <w:t xml:space="preserve"> for resist</w:t>
      </w:r>
      <w:r w:rsidR="000931A7">
        <w:rPr>
          <w:rFonts w:asciiTheme="minorHAnsi" w:hAnsiTheme="minorHAnsi" w:cstheme="minorHAnsi"/>
        </w:rPr>
        <w:t>ing a JR</w:t>
      </w:r>
      <w:r w:rsidR="00FB2EA1">
        <w:rPr>
          <w:rFonts w:asciiTheme="minorHAnsi" w:hAnsiTheme="minorHAnsi" w:cstheme="minorHAnsi"/>
        </w:rPr>
        <w:t xml:space="preserve"> even if </w:t>
      </w:r>
      <w:r w:rsidR="000931A7">
        <w:rPr>
          <w:rFonts w:asciiTheme="minorHAnsi" w:hAnsiTheme="minorHAnsi" w:cstheme="minorHAnsi"/>
        </w:rPr>
        <w:t>brought within 3 months.</w:t>
      </w:r>
    </w:p>
    <w:p w14:paraId="14A9D3C0" w14:textId="02CD9104" w:rsidR="00F8754A" w:rsidRPr="00D97CCD" w:rsidRDefault="00F8754A" w:rsidP="001C7D7E">
      <w:pPr>
        <w:numPr>
          <w:ilvl w:val="1"/>
          <w:numId w:val="8"/>
        </w:numPr>
        <w:spacing w:after="240" w:line="360" w:lineRule="auto"/>
        <w:jc w:val="both"/>
        <w:rPr>
          <w:rFonts w:asciiTheme="minorHAnsi" w:hAnsiTheme="minorHAnsi" w:cstheme="minorHAnsi"/>
        </w:rPr>
      </w:pPr>
      <w:r w:rsidRPr="00D97CCD">
        <w:rPr>
          <w:rFonts w:asciiTheme="minorHAnsi" w:hAnsiTheme="minorHAnsi" w:cstheme="minorHAnsi"/>
        </w:rPr>
        <w:t xml:space="preserve">Is any evidence needed at this stage? (Allied to that, is the </w:t>
      </w:r>
      <w:r w:rsidR="00BB2631" w:rsidRPr="00D97CCD">
        <w:rPr>
          <w:rFonts w:asciiTheme="minorHAnsi" w:hAnsiTheme="minorHAnsi" w:cstheme="minorHAnsi"/>
        </w:rPr>
        <w:t>c</w:t>
      </w:r>
      <w:r w:rsidRPr="00D97CCD">
        <w:rPr>
          <w:rFonts w:asciiTheme="minorHAnsi" w:hAnsiTheme="minorHAnsi" w:cstheme="minorHAnsi"/>
        </w:rPr>
        <w:t>laimants’ evidence admissible?)</w:t>
      </w:r>
    </w:p>
    <w:p w14:paraId="1D438194" w14:textId="1261B3DB" w:rsidR="00386A86" w:rsidRDefault="00386A86" w:rsidP="001C7D7E">
      <w:pPr>
        <w:numPr>
          <w:ilvl w:val="1"/>
          <w:numId w:val="8"/>
        </w:numPr>
        <w:spacing w:after="240" w:line="360" w:lineRule="auto"/>
        <w:jc w:val="both"/>
        <w:rPr>
          <w:rFonts w:asciiTheme="minorHAnsi" w:hAnsiTheme="minorHAnsi" w:cstheme="minorHAnsi"/>
        </w:rPr>
      </w:pPr>
      <w:r w:rsidRPr="00D97CCD">
        <w:rPr>
          <w:rFonts w:asciiTheme="minorHAnsi" w:hAnsiTheme="minorHAnsi" w:cstheme="minorHAnsi"/>
        </w:rPr>
        <w:t xml:space="preserve">What information, explanations or documents must the authority provide in its Summary Grounds in order to ensure that they are compliant with </w:t>
      </w:r>
      <w:r w:rsidR="001D1866" w:rsidRPr="00D97CCD">
        <w:rPr>
          <w:rFonts w:asciiTheme="minorHAnsi" w:hAnsiTheme="minorHAnsi" w:cstheme="minorHAnsi"/>
        </w:rPr>
        <w:t xml:space="preserve">its duty of candour? </w:t>
      </w:r>
      <w:r w:rsidR="00DF027C" w:rsidRPr="00D97CCD">
        <w:rPr>
          <w:rFonts w:asciiTheme="minorHAnsi" w:hAnsiTheme="minorHAnsi" w:cstheme="minorHAnsi"/>
        </w:rPr>
        <w:t>(</w:t>
      </w:r>
      <w:r w:rsidR="002F3C18" w:rsidRPr="00D97CCD">
        <w:rPr>
          <w:rFonts w:asciiTheme="minorHAnsi" w:hAnsiTheme="minorHAnsi" w:cstheme="minorHAnsi"/>
        </w:rPr>
        <w:t xml:space="preserve">As to what is required for complying with the duty of candour at the permission stage, see Fordham J’s judgment in </w:t>
      </w:r>
      <w:r w:rsidR="002F3C18" w:rsidRPr="00D97CCD">
        <w:rPr>
          <w:rFonts w:asciiTheme="minorHAnsi" w:hAnsiTheme="minorHAnsi" w:cstheme="minorHAnsi"/>
          <w:i/>
          <w:iCs/>
        </w:rPr>
        <w:t>R (Police Superintendents’ Association) v Police Remuneration Review Body and Anor</w:t>
      </w:r>
      <w:r w:rsidR="002F3C18" w:rsidRPr="00D97CCD">
        <w:rPr>
          <w:rFonts w:asciiTheme="minorHAnsi" w:hAnsiTheme="minorHAnsi" w:cstheme="minorHAnsi"/>
        </w:rPr>
        <w:t xml:space="preserve"> [2023] EWHC 1838 (Admin). </w:t>
      </w:r>
      <w:r w:rsidR="001D1866" w:rsidRPr="00D97CCD">
        <w:rPr>
          <w:rFonts w:asciiTheme="minorHAnsi" w:hAnsiTheme="minorHAnsi" w:cstheme="minorHAnsi"/>
        </w:rPr>
        <w:t xml:space="preserve">See </w:t>
      </w:r>
      <w:r w:rsidR="002F3C18" w:rsidRPr="00D97CCD">
        <w:rPr>
          <w:rFonts w:asciiTheme="minorHAnsi" w:hAnsiTheme="minorHAnsi" w:cstheme="minorHAnsi"/>
        </w:rPr>
        <w:t xml:space="preserve">also </w:t>
      </w:r>
      <w:r w:rsidR="001D1866" w:rsidRPr="00D97CCD">
        <w:rPr>
          <w:rFonts w:asciiTheme="minorHAnsi" w:hAnsiTheme="minorHAnsi" w:cstheme="minorHAnsi"/>
          <w:i/>
          <w:iCs/>
        </w:rPr>
        <w:t>Administrative Court Guide 2024</w:t>
      </w:r>
      <w:r w:rsidR="001D1866" w:rsidRPr="00D97CCD">
        <w:rPr>
          <w:rFonts w:asciiTheme="minorHAnsi" w:hAnsiTheme="minorHAnsi" w:cstheme="minorHAnsi"/>
        </w:rPr>
        <w:t>, §15.3.3.</w:t>
      </w:r>
      <w:r w:rsidR="00DF027C" w:rsidRPr="00D97CCD">
        <w:rPr>
          <w:rFonts w:asciiTheme="minorHAnsi" w:hAnsiTheme="minorHAnsi" w:cstheme="minorHAnsi"/>
        </w:rPr>
        <w:t>)</w:t>
      </w:r>
    </w:p>
    <w:p w14:paraId="728D1D95" w14:textId="00E0CFBF" w:rsidR="001E0E04" w:rsidRPr="00D97CCD" w:rsidRDefault="001E0E04" w:rsidP="001C7D7E">
      <w:pPr>
        <w:numPr>
          <w:ilvl w:val="1"/>
          <w:numId w:val="8"/>
        </w:numPr>
        <w:spacing w:after="240" w:line="360" w:lineRule="auto"/>
        <w:jc w:val="both"/>
        <w:rPr>
          <w:rFonts w:asciiTheme="minorHAnsi" w:hAnsiTheme="minorHAnsi" w:cstheme="minorHAnsi"/>
        </w:rPr>
      </w:pPr>
      <w:r>
        <w:rPr>
          <w:rFonts w:asciiTheme="minorHAnsi" w:hAnsiTheme="minorHAnsi" w:cstheme="minorHAnsi"/>
        </w:rPr>
        <w:t>Even if not required for the Summary Grounds themselves, think ahead to what disclosure or other evidence might be required later. As above, who would be an appropriate person to give a witness statement? Is there any possibility of oral evidence being required (very rare in JR but witnesses may be worried about this!)</w:t>
      </w:r>
    </w:p>
    <w:p w14:paraId="522D1B34" w14:textId="54AA1DBB" w:rsidR="00F8754A" w:rsidRPr="00D97CCD" w:rsidRDefault="00F8754A" w:rsidP="001C7D7E">
      <w:pPr>
        <w:numPr>
          <w:ilvl w:val="1"/>
          <w:numId w:val="8"/>
        </w:numPr>
        <w:spacing w:after="240" w:line="360" w:lineRule="auto"/>
        <w:jc w:val="both"/>
        <w:rPr>
          <w:rFonts w:asciiTheme="minorHAnsi" w:hAnsiTheme="minorHAnsi" w:cstheme="minorHAnsi"/>
        </w:rPr>
      </w:pPr>
      <w:r w:rsidRPr="00D97CCD">
        <w:rPr>
          <w:rFonts w:asciiTheme="minorHAnsi" w:hAnsiTheme="minorHAnsi" w:cstheme="minorHAnsi"/>
        </w:rPr>
        <w:t xml:space="preserve">What is the position on costs? Is the </w:t>
      </w:r>
      <w:r w:rsidR="00BB2631" w:rsidRPr="00D97CCD">
        <w:rPr>
          <w:rFonts w:asciiTheme="minorHAnsi" w:hAnsiTheme="minorHAnsi" w:cstheme="minorHAnsi"/>
        </w:rPr>
        <w:t>d</w:t>
      </w:r>
      <w:r w:rsidRPr="00D97CCD">
        <w:rPr>
          <w:rFonts w:asciiTheme="minorHAnsi" w:hAnsiTheme="minorHAnsi" w:cstheme="minorHAnsi"/>
        </w:rPr>
        <w:t xml:space="preserve">efendant seeking them (in which case, </w:t>
      </w:r>
      <w:r w:rsidR="00D603D3" w:rsidRPr="00D97CCD">
        <w:rPr>
          <w:rFonts w:asciiTheme="minorHAnsi" w:hAnsiTheme="minorHAnsi" w:cstheme="minorHAnsi"/>
        </w:rPr>
        <w:t xml:space="preserve">that needs to be made clear in the Acknowledgment of Service and </w:t>
      </w:r>
      <w:r w:rsidRPr="00D97CCD">
        <w:rPr>
          <w:rFonts w:asciiTheme="minorHAnsi" w:hAnsiTheme="minorHAnsi" w:cstheme="minorHAnsi"/>
        </w:rPr>
        <w:t xml:space="preserve">a costs schedule </w:t>
      </w:r>
      <w:r w:rsidR="00D603D3" w:rsidRPr="00D97CCD">
        <w:rPr>
          <w:rFonts w:asciiTheme="minorHAnsi" w:hAnsiTheme="minorHAnsi" w:cstheme="minorHAnsi"/>
        </w:rPr>
        <w:t>provided</w:t>
      </w:r>
      <w:r w:rsidRPr="00D97CCD">
        <w:rPr>
          <w:rFonts w:asciiTheme="minorHAnsi" w:hAnsiTheme="minorHAnsi" w:cstheme="minorHAnsi"/>
        </w:rPr>
        <w:t>)?</w:t>
      </w:r>
      <w:r w:rsidR="00D603D3" w:rsidRPr="00D97CCD">
        <w:rPr>
          <w:rFonts w:asciiTheme="minorHAnsi" w:hAnsiTheme="minorHAnsi" w:cstheme="minorHAnsi"/>
        </w:rPr>
        <w:t xml:space="preserve"> </w:t>
      </w:r>
      <w:r w:rsidRPr="00D97CCD">
        <w:rPr>
          <w:rFonts w:asciiTheme="minorHAnsi" w:hAnsiTheme="minorHAnsi" w:cstheme="minorHAnsi"/>
        </w:rPr>
        <w:t xml:space="preserve">Has a CCO application been made? Are there any Aarhus issues? </w:t>
      </w:r>
    </w:p>
    <w:p w14:paraId="27798B69" w14:textId="77777777" w:rsidR="00F8754A" w:rsidRPr="00D97CCD" w:rsidRDefault="00F8754A" w:rsidP="001C7D7E">
      <w:pPr>
        <w:numPr>
          <w:ilvl w:val="1"/>
          <w:numId w:val="8"/>
        </w:numPr>
        <w:spacing w:after="240" w:line="360" w:lineRule="auto"/>
        <w:jc w:val="both"/>
        <w:rPr>
          <w:rFonts w:asciiTheme="minorHAnsi" w:hAnsiTheme="minorHAnsi" w:cstheme="minorHAnsi"/>
        </w:rPr>
      </w:pPr>
      <w:r w:rsidRPr="00D97CCD">
        <w:rPr>
          <w:rFonts w:asciiTheme="minorHAnsi" w:hAnsiTheme="minorHAnsi" w:cstheme="minorHAnsi"/>
        </w:rPr>
        <w:t xml:space="preserve">Are any directions required? Expedition? A stay behind other cases? </w:t>
      </w:r>
      <w:r w:rsidR="00B45516" w:rsidRPr="00D97CCD">
        <w:rPr>
          <w:rFonts w:asciiTheme="minorHAnsi" w:hAnsiTheme="minorHAnsi" w:cstheme="minorHAnsi"/>
        </w:rPr>
        <w:t>A rolled up hearing?</w:t>
      </w:r>
    </w:p>
    <w:p w14:paraId="7CE5F5BC" w14:textId="77777777" w:rsidR="00D603D3" w:rsidRPr="00D97CCD" w:rsidRDefault="00D603D3" w:rsidP="001C7D7E">
      <w:pPr>
        <w:numPr>
          <w:ilvl w:val="1"/>
          <w:numId w:val="8"/>
        </w:numPr>
        <w:spacing w:after="240" w:line="360" w:lineRule="auto"/>
        <w:jc w:val="both"/>
        <w:rPr>
          <w:rFonts w:asciiTheme="minorHAnsi" w:hAnsiTheme="minorHAnsi" w:cstheme="minorHAnsi"/>
        </w:rPr>
      </w:pPr>
      <w:r w:rsidRPr="00D97CCD">
        <w:rPr>
          <w:rFonts w:asciiTheme="minorHAnsi" w:hAnsiTheme="minorHAnsi" w:cstheme="minorHAnsi"/>
        </w:rPr>
        <w:t>Has interim relief been sought? If so, what is your position? Would it be sensible to agree it? If you want to resist, then ensure the Court knows you intend to make submissions and will wait for you to do so before making a decision.</w:t>
      </w:r>
    </w:p>
    <w:p w14:paraId="1D112F26" w14:textId="670FAB03" w:rsidR="00F8754A" w:rsidRPr="00D97CCD" w:rsidRDefault="00F8754A" w:rsidP="006E6DEB">
      <w:pPr>
        <w:numPr>
          <w:ilvl w:val="1"/>
          <w:numId w:val="8"/>
        </w:numPr>
        <w:spacing w:after="240" w:line="360" w:lineRule="auto"/>
        <w:jc w:val="both"/>
        <w:rPr>
          <w:rFonts w:asciiTheme="minorHAnsi" w:hAnsiTheme="minorHAnsi" w:cstheme="minorHAnsi"/>
          <w:i/>
        </w:rPr>
      </w:pPr>
      <w:r w:rsidRPr="00D97CCD">
        <w:rPr>
          <w:rFonts w:asciiTheme="minorHAnsi" w:hAnsiTheme="minorHAnsi" w:cstheme="minorHAnsi"/>
        </w:rPr>
        <w:lastRenderedPageBreak/>
        <w:t>Is the claim totally without merit (CPR r. 54.12(7))? In this context, totally without merits means “</w:t>
      </w:r>
      <w:r w:rsidRPr="00D97CCD">
        <w:rPr>
          <w:rFonts w:asciiTheme="minorHAnsi" w:hAnsiTheme="minorHAnsi" w:cstheme="minorHAnsi"/>
          <w:i/>
        </w:rPr>
        <w:t>no more and no less than ‘bound to fail’”</w:t>
      </w:r>
      <w:r w:rsidRPr="00D97CCD">
        <w:rPr>
          <w:rFonts w:asciiTheme="minorHAnsi" w:hAnsiTheme="minorHAnsi" w:cstheme="minorHAnsi"/>
        </w:rPr>
        <w:t xml:space="preserve"> (</w:t>
      </w:r>
      <w:r w:rsidR="006E6DEB" w:rsidRPr="00D97CCD">
        <w:rPr>
          <w:rFonts w:asciiTheme="minorHAnsi" w:hAnsiTheme="minorHAnsi" w:cstheme="minorHAnsi"/>
          <w:i/>
        </w:rPr>
        <w:t xml:space="preserve">R (Wasif) v Secretary of State for the Home Department (Practice Note) </w:t>
      </w:r>
      <w:r w:rsidR="006E6DEB" w:rsidRPr="00D97CCD">
        <w:rPr>
          <w:rFonts w:asciiTheme="minorHAnsi" w:hAnsiTheme="minorHAnsi" w:cstheme="minorHAnsi"/>
          <w:iCs/>
        </w:rPr>
        <w:t xml:space="preserve">[2016] EWCA </w:t>
      </w:r>
      <w:proofErr w:type="spellStart"/>
      <w:r w:rsidR="006E6DEB" w:rsidRPr="00D97CCD">
        <w:rPr>
          <w:rFonts w:asciiTheme="minorHAnsi" w:hAnsiTheme="minorHAnsi" w:cstheme="minorHAnsi"/>
          <w:iCs/>
        </w:rPr>
        <w:t>Civ</w:t>
      </w:r>
      <w:proofErr w:type="spellEnd"/>
      <w:r w:rsidR="006E6DEB" w:rsidRPr="00D97CCD">
        <w:rPr>
          <w:rFonts w:asciiTheme="minorHAnsi" w:hAnsiTheme="minorHAnsi" w:cstheme="minorHAnsi"/>
          <w:iCs/>
        </w:rPr>
        <w:t xml:space="preserve"> 82, [2016] 1 WLR 2793</w:t>
      </w:r>
      <w:r w:rsidRPr="00D97CCD">
        <w:rPr>
          <w:rFonts w:asciiTheme="minorHAnsi" w:hAnsiTheme="minorHAnsi" w:cstheme="minorHAnsi"/>
          <w:iCs/>
        </w:rPr>
        <w:t>.</w:t>
      </w:r>
      <w:r w:rsidRPr="00D97CCD">
        <w:rPr>
          <w:rFonts w:asciiTheme="minorHAnsi" w:hAnsiTheme="minorHAnsi" w:cstheme="minorHAnsi"/>
        </w:rPr>
        <w:t xml:space="preserve"> </w:t>
      </w:r>
    </w:p>
    <w:p w14:paraId="374A9667" w14:textId="77777777" w:rsidR="00963EDB" w:rsidRPr="00D97CCD" w:rsidRDefault="00963EDB" w:rsidP="001C7D7E">
      <w:pPr>
        <w:numPr>
          <w:ilvl w:val="1"/>
          <w:numId w:val="8"/>
        </w:numPr>
        <w:spacing w:after="240" w:line="360" w:lineRule="auto"/>
        <w:jc w:val="both"/>
        <w:rPr>
          <w:rFonts w:asciiTheme="minorHAnsi" w:hAnsiTheme="minorHAnsi" w:cstheme="minorHAnsi"/>
        </w:rPr>
      </w:pPr>
      <w:r w:rsidRPr="00D97CCD">
        <w:rPr>
          <w:rFonts w:asciiTheme="minorHAnsi" w:hAnsiTheme="minorHAnsi" w:cstheme="minorHAnsi"/>
        </w:rPr>
        <w:t>Is there a</w:t>
      </w:r>
      <w:r w:rsidR="00FB1516" w:rsidRPr="00D97CCD">
        <w:rPr>
          <w:rFonts w:asciiTheme="minorHAnsi" w:hAnsiTheme="minorHAnsi" w:cstheme="minorHAnsi"/>
        </w:rPr>
        <w:t>n argument to be made under s.31(3D) of the Senior Courts Act 1981 to the effect that the outcome for the applicant would not have been substantially different even in the absence of the alleged unlawfulness?</w:t>
      </w:r>
    </w:p>
    <w:p w14:paraId="4378BFD7" w14:textId="77777777" w:rsidR="00D603D3" w:rsidRPr="00D97CCD" w:rsidRDefault="00D603D3" w:rsidP="00CB4680">
      <w:pPr>
        <w:spacing w:after="240" w:line="360" w:lineRule="auto"/>
        <w:ind w:firstLine="720"/>
        <w:jc w:val="both"/>
        <w:rPr>
          <w:rFonts w:asciiTheme="minorHAnsi" w:hAnsiTheme="minorHAnsi" w:cstheme="minorHAnsi"/>
          <w:b/>
        </w:rPr>
      </w:pPr>
      <w:r w:rsidRPr="00D97CCD">
        <w:rPr>
          <w:rFonts w:asciiTheme="minorHAnsi" w:hAnsiTheme="minorHAnsi" w:cstheme="minorHAnsi"/>
          <w:b/>
        </w:rPr>
        <w:t xml:space="preserve">The Renewal Hearing </w:t>
      </w:r>
    </w:p>
    <w:p w14:paraId="0A646D75" w14:textId="0F0E8DA6" w:rsidR="00E70CC9" w:rsidRPr="00D97CCD" w:rsidRDefault="00D603D3" w:rsidP="001C7D7E">
      <w:pPr>
        <w:numPr>
          <w:ilvl w:val="0"/>
          <w:numId w:val="8"/>
        </w:numPr>
        <w:spacing w:after="240" w:line="360" w:lineRule="auto"/>
        <w:ind w:left="720" w:hanging="720"/>
        <w:jc w:val="both"/>
        <w:rPr>
          <w:rFonts w:asciiTheme="minorHAnsi" w:hAnsiTheme="minorHAnsi" w:cstheme="minorHAnsi"/>
        </w:rPr>
      </w:pPr>
      <w:r w:rsidRPr="00D97CCD">
        <w:rPr>
          <w:rFonts w:asciiTheme="minorHAnsi" w:hAnsiTheme="minorHAnsi" w:cstheme="minorHAnsi"/>
        </w:rPr>
        <w:t xml:space="preserve">If permission is refused on the papers and the </w:t>
      </w:r>
      <w:r w:rsidR="00BB2631" w:rsidRPr="00D97CCD">
        <w:rPr>
          <w:rFonts w:asciiTheme="minorHAnsi" w:hAnsiTheme="minorHAnsi" w:cstheme="minorHAnsi"/>
        </w:rPr>
        <w:t>c</w:t>
      </w:r>
      <w:r w:rsidRPr="00D97CCD">
        <w:rPr>
          <w:rFonts w:asciiTheme="minorHAnsi" w:hAnsiTheme="minorHAnsi" w:cstheme="minorHAnsi"/>
        </w:rPr>
        <w:t>laimant renews then an oral permission hearing will be listed.</w:t>
      </w:r>
      <w:r w:rsidR="00B45516" w:rsidRPr="00D97CCD">
        <w:rPr>
          <w:rFonts w:asciiTheme="minorHAnsi" w:hAnsiTheme="minorHAnsi" w:cstheme="minorHAnsi"/>
        </w:rPr>
        <w:t xml:space="preserve"> The typical time estimate is</w:t>
      </w:r>
      <w:r w:rsidR="00333829" w:rsidRPr="00D97CCD">
        <w:rPr>
          <w:rFonts w:asciiTheme="minorHAnsi" w:hAnsiTheme="minorHAnsi" w:cstheme="minorHAnsi"/>
        </w:rPr>
        <w:t xml:space="preserve"> 3</w:t>
      </w:r>
      <w:r w:rsidR="00B45516" w:rsidRPr="00D97CCD">
        <w:rPr>
          <w:rFonts w:asciiTheme="minorHAnsi" w:hAnsiTheme="minorHAnsi" w:cstheme="minorHAnsi"/>
        </w:rPr>
        <w:t xml:space="preserve">0 minutes. Thought needs to be given to whether that is sufficient. </w:t>
      </w:r>
      <w:r w:rsidRPr="00D97CCD">
        <w:rPr>
          <w:rFonts w:asciiTheme="minorHAnsi" w:hAnsiTheme="minorHAnsi" w:cstheme="minorHAnsi"/>
        </w:rPr>
        <w:t xml:space="preserve"> </w:t>
      </w:r>
    </w:p>
    <w:p w14:paraId="49C7C685" w14:textId="083C7646" w:rsidR="00D603D3" w:rsidRPr="00D97CCD" w:rsidRDefault="00D603D3" w:rsidP="001C7D7E">
      <w:pPr>
        <w:numPr>
          <w:ilvl w:val="0"/>
          <w:numId w:val="8"/>
        </w:numPr>
        <w:spacing w:after="240" w:line="360" w:lineRule="auto"/>
        <w:ind w:left="720" w:hanging="720"/>
        <w:jc w:val="both"/>
        <w:rPr>
          <w:rFonts w:asciiTheme="minorHAnsi" w:hAnsiTheme="minorHAnsi" w:cstheme="minorHAnsi"/>
        </w:rPr>
      </w:pPr>
      <w:r w:rsidRPr="00D97CCD">
        <w:rPr>
          <w:rFonts w:asciiTheme="minorHAnsi" w:hAnsiTheme="minorHAnsi" w:cstheme="minorHAnsi"/>
        </w:rPr>
        <w:t xml:space="preserve">Usually a </w:t>
      </w:r>
      <w:r w:rsidR="00BB2631" w:rsidRPr="00D97CCD">
        <w:rPr>
          <w:rFonts w:asciiTheme="minorHAnsi" w:hAnsiTheme="minorHAnsi" w:cstheme="minorHAnsi"/>
        </w:rPr>
        <w:t>d</w:t>
      </w:r>
      <w:r w:rsidRPr="00D97CCD">
        <w:rPr>
          <w:rFonts w:asciiTheme="minorHAnsi" w:hAnsiTheme="minorHAnsi" w:cstheme="minorHAnsi"/>
        </w:rPr>
        <w:t>efendant will want to attend an Oral Permission Hearing. However, the costs of doing so cannot usually be claimed (</w:t>
      </w:r>
      <w:r w:rsidRPr="00D97CCD">
        <w:rPr>
          <w:rFonts w:asciiTheme="minorHAnsi" w:hAnsiTheme="minorHAnsi" w:cstheme="minorHAnsi"/>
          <w:i/>
        </w:rPr>
        <w:t>Mount Cook</w:t>
      </w:r>
      <w:r w:rsidRPr="00D97CCD">
        <w:rPr>
          <w:rFonts w:asciiTheme="minorHAnsi" w:hAnsiTheme="minorHAnsi" w:cstheme="minorHAnsi"/>
        </w:rPr>
        <w:t xml:space="preserve">), so there is a resource cost for doing so. </w:t>
      </w:r>
    </w:p>
    <w:p w14:paraId="1017ABD2" w14:textId="77777777" w:rsidR="00D603D3" w:rsidRPr="00D97CCD" w:rsidRDefault="00D603D3" w:rsidP="001C7D7E">
      <w:pPr>
        <w:numPr>
          <w:ilvl w:val="0"/>
          <w:numId w:val="8"/>
        </w:numPr>
        <w:spacing w:after="240" w:line="360" w:lineRule="auto"/>
        <w:ind w:left="720" w:hanging="720"/>
        <w:jc w:val="both"/>
        <w:rPr>
          <w:rFonts w:asciiTheme="minorHAnsi" w:hAnsiTheme="minorHAnsi" w:cstheme="minorHAnsi"/>
        </w:rPr>
      </w:pPr>
      <w:r w:rsidRPr="00D97CCD">
        <w:rPr>
          <w:rFonts w:asciiTheme="minorHAnsi" w:hAnsiTheme="minorHAnsi" w:cstheme="minorHAnsi"/>
        </w:rPr>
        <w:t>This may be the first time counsel are instructed. If so, there will be a fresh and independent pair of eyes on the claim. Their view on merits may be different. If so the client will need to be advised of that. If the position does change, could consider conceding at this stage (but bearing in mind adverse costs if this is done).</w:t>
      </w:r>
    </w:p>
    <w:p w14:paraId="7727400C" w14:textId="77777777" w:rsidR="00D603D3" w:rsidRPr="00D97CCD" w:rsidRDefault="00D603D3" w:rsidP="00CB4680">
      <w:pPr>
        <w:spacing w:after="240" w:line="360" w:lineRule="auto"/>
        <w:ind w:firstLine="720"/>
        <w:jc w:val="both"/>
        <w:rPr>
          <w:rFonts w:asciiTheme="minorHAnsi" w:hAnsiTheme="minorHAnsi" w:cstheme="minorHAnsi"/>
          <w:b/>
        </w:rPr>
      </w:pPr>
      <w:r w:rsidRPr="00D97CCD">
        <w:rPr>
          <w:rFonts w:asciiTheme="minorHAnsi" w:hAnsiTheme="minorHAnsi" w:cstheme="minorHAnsi"/>
          <w:b/>
        </w:rPr>
        <w:t>Permission granted</w:t>
      </w:r>
    </w:p>
    <w:p w14:paraId="37D1055F" w14:textId="77777777" w:rsidR="00B45516" w:rsidRPr="00D97CCD" w:rsidRDefault="00B45516" w:rsidP="001C7D7E">
      <w:pPr>
        <w:numPr>
          <w:ilvl w:val="0"/>
          <w:numId w:val="8"/>
        </w:numPr>
        <w:spacing w:after="240" w:line="360" w:lineRule="auto"/>
        <w:ind w:left="720" w:hanging="720"/>
        <w:jc w:val="both"/>
        <w:rPr>
          <w:rFonts w:asciiTheme="minorHAnsi" w:hAnsiTheme="minorHAnsi" w:cstheme="minorHAnsi"/>
        </w:rPr>
      </w:pPr>
      <w:r w:rsidRPr="00D97CCD">
        <w:rPr>
          <w:rFonts w:asciiTheme="minorHAnsi" w:hAnsiTheme="minorHAnsi" w:cstheme="minorHAnsi"/>
        </w:rPr>
        <w:t xml:space="preserve">The grant of permission means that a High Court judge has told you the decision is arguably unlawful. When that happens, there is a definite need to re-assess risk and decide whether to continue fighting the claim. All involved should be considering whether there is a need for further advice, and what the risks are of conceding or defending. </w:t>
      </w:r>
    </w:p>
    <w:p w14:paraId="68C7CE79" w14:textId="7DEB7FF5" w:rsidR="00963EDB" w:rsidRPr="00D97CCD" w:rsidRDefault="00963EDB" w:rsidP="00CB4680">
      <w:pPr>
        <w:spacing w:after="240" w:line="360" w:lineRule="auto"/>
        <w:ind w:firstLine="720"/>
        <w:jc w:val="both"/>
        <w:rPr>
          <w:rFonts w:asciiTheme="minorHAnsi" w:hAnsiTheme="minorHAnsi" w:cstheme="minorHAnsi"/>
          <w:b/>
          <w:u w:val="single"/>
        </w:rPr>
      </w:pPr>
      <w:r w:rsidRPr="00D97CCD">
        <w:rPr>
          <w:rFonts w:asciiTheme="minorHAnsi" w:hAnsiTheme="minorHAnsi" w:cstheme="minorHAnsi"/>
          <w:b/>
          <w:u w:val="single"/>
        </w:rPr>
        <w:t xml:space="preserve">THE SUBSTANTIVE STAGE </w:t>
      </w:r>
    </w:p>
    <w:p w14:paraId="5448E44D" w14:textId="77777777" w:rsidR="00D603D3" w:rsidRPr="00D97CCD" w:rsidRDefault="00D603D3" w:rsidP="001C7D7E">
      <w:pPr>
        <w:spacing w:after="240" w:line="360" w:lineRule="auto"/>
        <w:ind w:left="720"/>
        <w:jc w:val="both"/>
        <w:rPr>
          <w:rFonts w:asciiTheme="minorHAnsi" w:hAnsiTheme="minorHAnsi" w:cstheme="minorHAnsi"/>
          <w:b/>
        </w:rPr>
      </w:pPr>
      <w:r w:rsidRPr="00D97CCD">
        <w:rPr>
          <w:rFonts w:asciiTheme="minorHAnsi" w:hAnsiTheme="minorHAnsi" w:cstheme="minorHAnsi"/>
          <w:b/>
        </w:rPr>
        <w:t xml:space="preserve">Detailed </w:t>
      </w:r>
      <w:r w:rsidR="00963EDB" w:rsidRPr="00D97CCD">
        <w:rPr>
          <w:rFonts w:asciiTheme="minorHAnsi" w:hAnsiTheme="minorHAnsi" w:cstheme="minorHAnsi"/>
          <w:b/>
        </w:rPr>
        <w:t>G</w:t>
      </w:r>
      <w:r w:rsidRPr="00D97CCD">
        <w:rPr>
          <w:rFonts w:asciiTheme="minorHAnsi" w:hAnsiTheme="minorHAnsi" w:cstheme="minorHAnsi"/>
          <w:b/>
        </w:rPr>
        <w:t xml:space="preserve">rounds of </w:t>
      </w:r>
      <w:r w:rsidR="00963EDB" w:rsidRPr="00D97CCD">
        <w:rPr>
          <w:rFonts w:asciiTheme="minorHAnsi" w:hAnsiTheme="minorHAnsi" w:cstheme="minorHAnsi"/>
          <w:b/>
        </w:rPr>
        <w:t>R</w:t>
      </w:r>
      <w:r w:rsidRPr="00D97CCD">
        <w:rPr>
          <w:rFonts w:asciiTheme="minorHAnsi" w:hAnsiTheme="minorHAnsi" w:cstheme="minorHAnsi"/>
          <w:b/>
        </w:rPr>
        <w:t xml:space="preserve">esistance / </w:t>
      </w:r>
      <w:r w:rsidR="00963EDB" w:rsidRPr="00D97CCD">
        <w:rPr>
          <w:rFonts w:asciiTheme="minorHAnsi" w:hAnsiTheme="minorHAnsi" w:cstheme="minorHAnsi"/>
          <w:b/>
        </w:rPr>
        <w:t>E</w:t>
      </w:r>
      <w:r w:rsidRPr="00D97CCD">
        <w:rPr>
          <w:rFonts w:asciiTheme="minorHAnsi" w:hAnsiTheme="minorHAnsi" w:cstheme="minorHAnsi"/>
          <w:b/>
        </w:rPr>
        <w:t xml:space="preserve">vidence </w:t>
      </w:r>
    </w:p>
    <w:p w14:paraId="0B6B50D7" w14:textId="77777777" w:rsidR="00D603D3" w:rsidRPr="00D97CCD" w:rsidRDefault="00B45516" w:rsidP="001C7D7E">
      <w:pPr>
        <w:numPr>
          <w:ilvl w:val="0"/>
          <w:numId w:val="8"/>
        </w:numPr>
        <w:spacing w:after="240" w:line="360" w:lineRule="auto"/>
        <w:ind w:left="720" w:hanging="720"/>
        <w:jc w:val="both"/>
        <w:rPr>
          <w:rFonts w:asciiTheme="minorHAnsi" w:hAnsiTheme="minorHAnsi" w:cstheme="minorHAnsi"/>
        </w:rPr>
      </w:pPr>
      <w:r w:rsidRPr="00D97CCD">
        <w:rPr>
          <w:rFonts w:asciiTheme="minorHAnsi" w:hAnsiTheme="minorHAnsi" w:cstheme="minorHAnsi"/>
        </w:rPr>
        <w:lastRenderedPageBreak/>
        <w:t xml:space="preserve">Again, the first thing to check is timing – 35 days is the standard </w:t>
      </w:r>
      <w:r w:rsidR="00963EDB" w:rsidRPr="00D97CCD">
        <w:rPr>
          <w:rFonts w:asciiTheme="minorHAnsi" w:hAnsiTheme="minorHAnsi" w:cstheme="minorHAnsi"/>
        </w:rPr>
        <w:t>period allowed for the preparation of detailed grounds</w:t>
      </w:r>
      <w:r w:rsidRPr="00D97CCD">
        <w:rPr>
          <w:rFonts w:asciiTheme="minorHAnsi" w:hAnsiTheme="minorHAnsi" w:cstheme="minorHAnsi"/>
        </w:rPr>
        <w:t xml:space="preserve">, but it can be varied by the judge at the time permission is granted. If an extension is likely to be needed, it should be sought well before the deadline. </w:t>
      </w:r>
    </w:p>
    <w:p w14:paraId="2F090D0A" w14:textId="63EB62EE" w:rsidR="00B45516" w:rsidRPr="00D97CCD" w:rsidRDefault="00B45516" w:rsidP="001C7D7E">
      <w:pPr>
        <w:numPr>
          <w:ilvl w:val="0"/>
          <w:numId w:val="8"/>
        </w:numPr>
        <w:spacing w:after="240" w:line="360" w:lineRule="auto"/>
        <w:ind w:left="720" w:hanging="720"/>
        <w:jc w:val="both"/>
        <w:rPr>
          <w:rFonts w:asciiTheme="minorHAnsi" w:hAnsiTheme="minorHAnsi" w:cstheme="minorHAnsi"/>
        </w:rPr>
      </w:pPr>
      <w:r w:rsidRPr="00D97CCD">
        <w:rPr>
          <w:rFonts w:asciiTheme="minorHAnsi" w:hAnsiTheme="minorHAnsi" w:cstheme="minorHAnsi"/>
        </w:rPr>
        <w:t xml:space="preserve">Evidence is often the most </w:t>
      </w:r>
      <w:r w:rsidR="00F33F7C" w:rsidRPr="00D97CCD">
        <w:rPr>
          <w:rFonts w:asciiTheme="minorHAnsi" w:hAnsiTheme="minorHAnsi" w:cstheme="minorHAnsi"/>
        </w:rPr>
        <w:t>time-consuming</w:t>
      </w:r>
      <w:r w:rsidRPr="00D97CCD">
        <w:rPr>
          <w:rFonts w:asciiTheme="minorHAnsi" w:hAnsiTheme="minorHAnsi" w:cstheme="minorHAnsi"/>
        </w:rPr>
        <w:t xml:space="preserve"> aspect and needs to be considered early. It is critical because if there is a dispute of fact, the </w:t>
      </w:r>
      <w:r w:rsidR="00BB2631" w:rsidRPr="00D97CCD">
        <w:rPr>
          <w:rFonts w:asciiTheme="minorHAnsi" w:hAnsiTheme="minorHAnsi" w:cstheme="minorHAnsi"/>
        </w:rPr>
        <w:t>d</w:t>
      </w:r>
      <w:r w:rsidRPr="00D97CCD">
        <w:rPr>
          <w:rFonts w:asciiTheme="minorHAnsi" w:hAnsiTheme="minorHAnsi" w:cstheme="minorHAnsi"/>
        </w:rPr>
        <w:t xml:space="preserve">efendant’s evidence will usually be preferred to the </w:t>
      </w:r>
      <w:r w:rsidR="00BB2631" w:rsidRPr="00D97CCD">
        <w:rPr>
          <w:rFonts w:asciiTheme="minorHAnsi" w:hAnsiTheme="minorHAnsi" w:cstheme="minorHAnsi"/>
        </w:rPr>
        <w:t>c</w:t>
      </w:r>
      <w:r w:rsidRPr="00D97CCD">
        <w:rPr>
          <w:rFonts w:asciiTheme="minorHAnsi" w:hAnsiTheme="minorHAnsi" w:cstheme="minorHAnsi"/>
        </w:rPr>
        <w:t>laimant’s on an application for judicial review (see</w:t>
      </w:r>
      <w:r w:rsidR="002622A1" w:rsidRPr="00D97CCD">
        <w:rPr>
          <w:rFonts w:asciiTheme="minorHAnsi" w:hAnsiTheme="minorHAnsi" w:cstheme="minorHAnsi"/>
        </w:rPr>
        <w:t>,</w:t>
      </w:r>
      <w:r w:rsidRPr="00D97CCD">
        <w:rPr>
          <w:rFonts w:asciiTheme="minorHAnsi" w:hAnsiTheme="minorHAnsi" w:cstheme="minorHAnsi"/>
        </w:rPr>
        <w:t xml:space="preserve"> for example</w:t>
      </w:r>
      <w:r w:rsidR="002622A1" w:rsidRPr="00D97CCD">
        <w:rPr>
          <w:rFonts w:asciiTheme="minorHAnsi" w:hAnsiTheme="minorHAnsi" w:cstheme="minorHAnsi"/>
        </w:rPr>
        <w:t>,</w:t>
      </w:r>
      <w:r w:rsidRPr="00D97CCD">
        <w:rPr>
          <w:rFonts w:asciiTheme="minorHAnsi" w:hAnsiTheme="minorHAnsi" w:cstheme="minorHAnsi"/>
          <w:i/>
        </w:rPr>
        <w:t xml:space="preserve"> R (End Violence Against Women Coalition) v Director for Public Prosecutions </w:t>
      </w:r>
      <w:r w:rsidRPr="00D97CCD">
        <w:rPr>
          <w:rFonts w:asciiTheme="minorHAnsi" w:hAnsiTheme="minorHAnsi" w:cstheme="minorHAnsi"/>
        </w:rPr>
        <w:t xml:space="preserve">[2020] EWHC 929 Admin at §15). </w:t>
      </w:r>
    </w:p>
    <w:p w14:paraId="27700696" w14:textId="3FF2E9AA" w:rsidR="002C79B2" w:rsidRPr="00D97CCD" w:rsidRDefault="003E0C73" w:rsidP="001C7D7E">
      <w:pPr>
        <w:numPr>
          <w:ilvl w:val="0"/>
          <w:numId w:val="8"/>
        </w:numPr>
        <w:spacing w:after="240" w:line="360" w:lineRule="auto"/>
        <w:ind w:left="720" w:hanging="720"/>
        <w:jc w:val="both"/>
        <w:rPr>
          <w:rFonts w:asciiTheme="minorHAnsi" w:hAnsiTheme="minorHAnsi" w:cstheme="minorHAnsi"/>
        </w:rPr>
      </w:pPr>
      <w:r w:rsidRPr="00D97CCD">
        <w:rPr>
          <w:rFonts w:asciiTheme="minorHAnsi" w:hAnsiTheme="minorHAnsi" w:cstheme="minorHAnsi"/>
        </w:rPr>
        <w:t>The public authority’s lawyers</w:t>
      </w:r>
      <w:r w:rsidR="00B45516" w:rsidRPr="00D97CCD">
        <w:rPr>
          <w:rFonts w:asciiTheme="minorHAnsi" w:hAnsiTheme="minorHAnsi" w:cstheme="minorHAnsi"/>
        </w:rPr>
        <w:t xml:space="preserve"> will need to identify the evidence required and who should give it. </w:t>
      </w:r>
      <w:r w:rsidR="001E0E04">
        <w:rPr>
          <w:rFonts w:asciiTheme="minorHAnsi" w:hAnsiTheme="minorHAnsi" w:cstheme="minorHAnsi"/>
        </w:rPr>
        <w:t xml:space="preserve">The identity of the individual giving a witness statement will be crucial and may require careful consideration within the relevant public authority. </w:t>
      </w:r>
      <w:r w:rsidR="00B45516" w:rsidRPr="00D97CCD">
        <w:rPr>
          <w:rFonts w:asciiTheme="minorHAnsi" w:hAnsiTheme="minorHAnsi" w:cstheme="minorHAnsi"/>
        </w:rPr>
        <w:t>Documents will either need to be exhibited or fairly summarised. The lawyer will also need to consider whether there any redactions needed (including as a result of public interest immunity concerns)</w:t>
      </w:r>
      <w:r w:rsidR="00FF4CDB" w:rsidRPr="00D97CCD">
        <w:rPr>
          <w:rFonts w:asciiTheme="minorHAnsi" w:hAnsiTheme="minorHAnsi" w:cstheme="minorHAnsi"/>
        </w:rPr>
        <w:t xml:space="preserve">, but should not </w:t>
      </w:r>
      <w:r w:rsidR="00BF0374" w:rsidRPr="00D97CCD">
        <w:rPr>
          <w:rFonts w:asciiTheme="minorHAnsi" w:hAnsiTheme="minorHAnsi" w:cstheme="minorHAnsi"/>
        </w:rPr>
        <w:t xml:space="preserve">adopt a blanket approach of redacting the names of </w:t>
      </w:r>
      <w:proofErr w:type="spellStart"/>
      <w:r w:rsidR="00BF0374" w:rsidRPr="00D97CCD">
        <w:rPr>
          <w:rFonts w:asciiTheme="minorHAnsi" w:hAnsiTheme="minorHAnsi" w:cstheme="minorHAnsi"/>
        </w:rPr>
        <w:t>individualk</w:t>
      </w:r>
      <w:proofErr w:type="spellEnd"/>
      <w:r w:rsidR="00BF0374" w:rsidRPr="00D97CCD">
        <w:rPr>
          <w:rFonts w:asciiTheme="minorHAnsi" w:hAnsiTheme="minorHAnsi" w:cstheme="minorHAnsi"/>
        </w:rPr>
        <w:t xml:space="preserve"> involved in the process culminating in the decision: </w:t>
      </w:r>
      <w:r w:rsidR="00BF0374" w:rsidRPr="00D97CCD">
        <w:rPr>
          <w:rFonts w:asciiTheme="minorHAnsi" w:hAnsiTheme="minorHAnsi" w:cstheme="minorHAnsi"/>
          <w:i/>
          <w:iCs/>
        </w:rPr>
        <w:t>R (IAB) v Secretary of State for the Home Department and Anor </w:t>
      </w:r>
      <w:r w:rsidR="00BF0374" w:rsidRPr="00D97CCD">
        <w:rPr>
          <w:rFonts w:asciiTheme="minorHAnsi" w:hAnsiTheme="minorHAnsi" w:cstheme="minorHAnsi"/>
        </w:rPr>
        <w:t xml:space="preserve">[2024] EWCA </w:t>
      </w:r>
      <w:proofErr w:type="spellStart"/>
      <w:r w:rsidR="00BF0374" w:rsidRPr="00D97CCD">
        <w:rPr>
          <w:rFonts w:asciiTheme="minorHAnsi" w:hAnsiTheme="minorHAnsi" w:cstheme="minorHAnsi"/>
        </w:rPr>
        <w:t>Civ</w:t>
      </w:r>
      <w:proofErr w:type="spellEnd"/>
      <w:r w:rsidR="00BF0374" w:rsidRPr="00D97CCD">
        <w:rPr>
          <w:rFonts w:asciiTheme="minorHAnsi" w:hAnsiTheme="minorHAnsi" w:cstheme="minorHAnsi"/>
        </w:rPr>
        <w:t xml:space="preserve"> 66.</w:t>
      </w:r>
    </w:p>
    <w:p w14:paraId="094616AC" w14:textId="69FBD5C7" w:rsidR="00B45516" w:rsidRPr="00D97CCD" w:rsidRDefault="002C79B2" w:rsidP="001C7D7E">
      <w:pPr>
        <w:numPr>
          <w:ilvl w:val="0"/>
          <w:numId w:val="8"/>
        </w:numPr>
        <w:spacing w:after="240" w:line="360" w:lineRule="auto"/>
        <w:ind w:left="720" w:hanging="720"/>
        <w:jc w:val="both"/>
        <w:rPr>
          <w:rFonts w:asciiTheme="minorHAnsi" w:hAnsiTheme="minorHAnsi" w:cstheme="minorHAnsi"/>
        </w:rPr>
      </w:pPr>
      <w:r w:rsidRPr="00D97CCD">
        <w:rPr>
          <w:rFonts w:asciiTheme="minorHAnsi" w:hAnsiTheme="minorHAnsi" w:cstheme="minorHAnsi"/>
        </w:rPr>
        <w:t xml:space="preserve">Full consideration needs to be given to documents and the duty of candour including whether any further searches are required. Although the duty of candour applies to all parties and throughout the whole of JR proceedings, the duty imposes its most extensive requirements </w:t>
      </w:r>
      <w:r w:rsidR="00C93B90" w:rsidRPr="00D97CCD">
        <w:rPr>
          <w:rFonts w:asciiTheme="minorHAnsi" w:hAnsiTheme="minorHAnsi" w:cstheme="minorHAnsi"/>
        </w:rPr>
        <w:t xml:space="preserve">on the defendant in the context of providing a substantive response to a claim: see </w:t>
      </w:r>
      <w:r w:rsidR="00795CC8" w:rsidRPr="00D97CCD">
        <w:rPr>
          <w:rFonts w:asciiTheme="minorHAnsi" w:hAnsiTheme="minorHAnsi" w:cstheme="minorHAnsi"/>
          <w:i/>
          <w:iCs/>
        </w:rPr>
        <w:t>R (Terra Services Ltd) v National Crime Agency</w:t>
      </w:r>
      <w:r w:rsidR="00795CC8" w:rsidRPr="00D97CCD">
        <w:rPr>
          <w:rFonts w:asciiTheme="minorHAnsi" w:hAnsiTheme="minorHAnsi" w:cstheme="minorHAnsi"/>
        </w:rPr>
        <w:t xml:space="preserve"> [2019] EWHC 1933 (Admin), at [9] &amp; [14]; and </w:t>
      </w:r>
      <w:r w:rsidR="00C93B90" w:rsidRPr="00D97CCD">
        <w:rPr>
          <w:rFonts w:asciiTheme="minorHAnsi" w:hAnsiTheme="minorHAnsi" w:cstheme="minorHAnsi"/>
          <w:i/>
          <w:iCs/>
        </w:rPr>
        <w:t>Administrative Court Guide 2024</w:t>
      </w:r>
      <w:r w:rsidR="00C93B90" w:rsidRPr="00D97CCD">
        <w:rPr>
          <w:rFonts w:asciiTheme="minorHAnsi" w:hAnsiTheme="minorHAnsi" w:cstheme="minorHAnsi"/>
        </w:rPr>
        <w:t>, §15.3.</w:t>
      </w:r>
      <w:r w:rsidR="002524D0" w:rsidRPr="00D97CCD">
        <w:rPr>
          <w:rFonts w:asciiTheme="minorHAnsi" w:hAnsiTheme="minorHAnsi" w:cstheme="minorHAnsi"/>
        </w:rPr>
        <w:t>4</w:t>
      </w:r>
      <w:r w:rsidR="00FE3340" w:rsidRPr="00D97CCD">
        <w:rPr>
          <w:rFonts w:asciiTheme="minorHAnsi" w:hAnsiTheme="minorHAnsi" w:cstheme="minorHAnsi"/>
        </w:rPr>
        <w:t>-5</w:t>
      </w:r>
      <w:r w:rsidR="00C93B90" w:rsidRPr="00D97CCD">
        <w:rPr>
          <w:rFonts w:asciiTheme="minorHAnsi" w:hAnsiTheme="minorHAnsi" w:cstheme="minorHAnsi"/>
        </w:rPr>
        <w:t>.</w:t>
      </w:r>
      <w:r w:rsidR="00FE3340" w:rsidRPr="00D97CCD">
        <w:rPr>
          <w:rFonts w:asciiTheme="minorHAnsi" w:hAnsiTheme="minorHAnsi" w:cstheme="minorHAnsi"/>
        </w:rPr>
        <w:t xml:space="preserve"> The latter makes clear that “</w:t>
      </w:r>
      <w:r w:rsidR="00FE3340" w:rsidRPr="00D97CCD">
        <w:rPr>
          <w:rFonts w:asciiTheme="minorHAnsi" w:hAnsiTheme="minorHAnsi" w:cstheme="minorHAnsi"/>
          <w:i/>
          <w:iCs/>
        </w:rPr>
        <w:t>pleadings and evidence must not mislead by omission</w:t>
      </w:r>
      <w:r w:rsidR="002B43A2" w:rsidRPr="00D97CCD">
        <w:rPr>
          <w:rFonts w:asciiTheme="minorHAnsi" w:hAnsiTheme="minorHAnsi" w:cstheme="minorHAnsi"/>
        </w:rPr>
        <w:t>”.</w:t>
      </w:r>
    </w:p>
    <w:p w14:paraId="60E07663" w14:textId="5E65F3E4" w:rsidR="00D603D3" w:rsidRPr="00D97CCD" w:rsidRDefault="002B43A2" w:rsidP="001C7D7E">
      <w:pPr>
        <w:numPr>
          <w:ilvl w:val="0"/>
          <w:numId w:val="8"/>
        </w:numPr>
        <w:spacing w:after="240" w:line="360" w:lineRule="auto"/>
        <w:ind w:left="720" w:hanging="720"/>
        <w:jc w:val="both"/>
        <w:rPr>
          <w:rFonts w:asciiTheme="minorHAnsi" w:hAnsiTheme="minorHAnsi" w:cstheme="minorHAnsi"/>
        </w:rPr>
      </w:pPr>
      <w:r w:rsidRPr="00D97CCD">
        <w:rPr>
          <w:rFonts w:asciiTheme="minorHAnsi" w:hAnsiTheme="minorHAnsi" w:cstheme="minorHAnsi"/>
        </w:rPr>
        <w:t>C</w:t>
      </w:r>
      <w:r w:rsidR="00B45516" w:rsidRPr="00D97CCD">
        <w:rPr>
          <w:rFonts w:asciiTheme="minorHAnsi" w:hAnsiTheme="minorHAnsi" w:cstheme="minorHAnsi"/>
        </w:rPr>
        <w:t xml:space="preserve">ounsel needs to be instructed to draft the detailed grounds. Care should be taken to ensure they have what they need in terms of factual material and time. </w:t>
      </w:r>
    </w:p>
    <w:p w14:paraId="1E2A8CC2" w14:textId="77777777" w:rsidR="00FB1516" w:rsidRPr="00D97CCD" w:rsidRDefault="00B45516" w:rsidP="001C7D7E">
      <w:pPr>
        <w:numPr>
          <w:ilvl w:val="0"/>
          <w:numId w:val="8"/>
        </w:numPr>
        <w:spacing w:after="240" w:line="360" w:lineRule="auto"/>
        <w:ind w:left="720" w:hanging="720"/>
        <w:jc w:val="both"/>
        <w:rPr>
          <w:rFonts w:asciiTheme="minorHAnsi" w:hAnsiTheme="minorHAnsi" w:cstheme="minorHAnsi"/>
        </w:rPr>
      </w:pPr>
      <w:r w:rsidRPr="00D97CCD">
        <w:rPr>
          <w:rFonts w:asciiTheme="minorHAnsi" w:hAnsiTheme="minorHAnsi" w:cstheme="minorHAnsi"/>
        </w:rPr>
        <w:t>Once everything is near final form, a step back should be taken so that everyone can consider whether the risk profile has changed and, if so, what the implications of that are and who needs to be informed.</w:t>
      </w:r>
    </w:p>
    <w:p w14:paraId="6166AB51" w14:textId="77777777" w:rsidR="00B45516" w:rsidRPr="00D97CCD" w:rsidRDefault="00B45516" w:rsidP="001C7D7E">
      <w:pPr>
        <w:spacing w:after="240" w:line="360" w:lineRule="auto"/>
        <w:ind w:left="720"/>
        <w:jc w:val="both"/>
        <w:rPr>
          <w:rFonts w:asciiTheme="minorHAnsi" w:hAnsiTheme="minorHAnsi" w:cstheme="minorHAnsi"/>
          <w:b/>
        </w:rPr>
      </w:pPr>
      <w:r w:rsidRPr="00D97CCD">
        <w:rPr>
          <w:rFonts w:asciiTheme="minorHAnsi" w:hAnsiTheme="minorHAnsi" w:cstheme="minorHAnsi"/>
          <w:b/>
        </w:rPr>
        <w:lastRenderedPageBreak/>
        <w:t xml:space="preserve">The </w:t>
      </w:r>
      <w:r w:rsidR="00963EDB" w:rsidRPr="00D97CCD">
        <w:rPr>
          <w:rFonts w:asciiTheme="minorHAnsi" w:hAnsiTheme="minorHAnsi" w:cstheme="minorHAnsi"/>
          <w:b/>
        </w:rPr>
        <w:t>S</w:t>
      </w:r>
      <w:r w:rsidRPr="00D97CCD">
        <w:rPr>
          <w:rFonts w:asciiTheme="minorHAnsi" w:hAnsiTheme="minorHAnsi" w:cstheme="minorHAnsi"/>
          <w:b/>
        </w:rPr>
        <w:t xml:space="preserve">ubstantive </w:t>
      </w:r>
      <w:r w:rsidR="00963EDB" w:rsidRPr="00D97CCD">
        <w:rPr>
          <w:rFonts w:asciiTheme="minorHAnsi" w:hAnsiTheme="minorHAnsi" w:cstheme="minorHAnsi"/>
          <w:b/>
        </w:rPr>
        <w:t>H</w:t>
      </w:r>
      <w:r w:rsidRPr="00D97CCD">
        <w:rPr>
          <w:rFonts w:asciiTheme="minorHAnsi" w:hAnsiTheme="minorHAnsi" w:cstheme="minorHAnsi"/>
          <w:b/>
        </w:rPr>
        <w:t xml:space="preserve">earing </w:t>
      </w:r>
    </w:p>
    <w:p w14:paraId="3AC72F26" w14:textId="77777777" w:rsidR="00B45516" w:rsidRPr="00D97CCD" w:rsidRDefault="00C02D3A" w:rsidP="001C7D7E">
      <w:pPr>
        <w:numPr>
          <w:ilvl w:val="0"/>
          <w:numId w:val="8"/>
        </w:numPr>
        <w:spacing w:after="240" w:line="360" w:lineRule="auto"/>
        <w:ind w:left="720" w:hanging="720"/>
        <w:jc w:val="both"/>
        <w:rPr>
          <w:rFonts w:asciiTheme="minorHAnsi" w:hAnsiTheme="minorHAnsi" w:cstheme="minorHAnsi"/>
        </w:rPr>
      </w:pPr>
      <w:r w:rsidRPr="00D97CCD">
        <w:rPr>
          <w:rFonts w:asciiTheme="minorHAnsi" w:hAnsiTheme="minorHAnsi" w:cstheme="minorHAnsi"/>
        </w:rPr>
        <w:t xml:space="preserve">All the usual considerations arise: listing, bundles, skeletons, cost schedules. </w:t>
      </w:r>
    </w:p>
    <w:p w14:paraId="06688DCA" w14:textId="2570F110" w:rsidR="00C02D3A" w:rsidRPr="00D97CCD" w:rsidRDefault="00C02D3A" w:rsidP="001C7D7E">
      <w:pPr>
        <w:numPr>
          <w:ilvl w:val="0"/>
          <w:numId w:val="8"/>
        </w:numPr>
        <w:spacing w:after="240" w:line="360" w:lineRule="auto"/>
        <w:ind w:left="720" w:hanging="720"/>
        <w:jc w:val="both"/>
        <w:rPr>
          <w:rFonts w:asciiTheme="minorHAnsi" w:hAnsiTheme="minorHAnsi" w:cstheme="minorHAnsi"/>
        </w:rPr>
      </w:pPr>
      <w:r w:rsidRPr="00D97CCD">
        <w:rPr>
          <w:rFonts w:asciiTheme="minorHAnsi" w:hAnsiTheme="minorHAnsi" w:cstheme="minorHAnsi"/>
        </w:rPr>
        <w:t xml:space="preserve">One difficulty which can arise when acting for </w:t>
      </w:r>
      <w:r w:rsidR="00BB2631" w:rsidRPr="00D97CCD">
        <w:rPr>
          <w:rFonts w:asciiTheme="minorHAnsi" w:hAnsiTheme="minorHAnsi" w:cstheme="minorHAnsi"/>
        </w:rPr>
        <w:t>d</w:t>
      </w:r>
      <w:r w:rsidRPr="00D97CCD">
        <w:rPr>
          <w:rFonts w:asciiTheme="minorHAnsi" w:hAnsiTheme="minorHAnsi" w:cstheme="minorHAnsi"/>
        </w:rPr>
        <w:t xml:space="preserve">efendants is the taking of last-minute instructions. Arrangements need to be made to ensure relevant people are available on the day, if needed. That will include instructions on whether to seek permission to appeal in the event of an </w:t>
      </w:r>
      <w:r w:rsidRPr="00D97CCD">
        <w:rPr>
          <w:rFonts w:asciiTheme="minorHAnsi" w:hAnsiTheme="minorHAnsi" w:cstheme="minorHAnsi"/>
          <w:i/>
        </w:rPr>
        <w:t>ex tempore</w:t>
      </w:r>
      <w:r w:rsidRPr="00D97CCD">
        <w:rPr>
          <w:rFonts w:asciiTheme="minorHAnsi" w:hAnsiTheme="minorHAnsi" w:cstheme="minorHAnsi"/>
        </w:rPr>
        <w:t xml:space="preserve"> judgment. </w:t>
      </w:r>
    </w:p>
    <w:p w14:paraId="74142EB5" w14:textId="49399920" w:rsidR="000D2238" w:rsidRPr="00D97CCD" w:rsidRDefault="00C02D3A" w:rsidP="001C7D7E">
      <w:pPr>
        <w:numPr>
          <w:ilvl w:val="0"/>
          <w:numId w:val="8"/>
        </w:numPr>
        <w:spacing w:after="240" w:line="360" w:lineRule="auto"/>
        <w:ind w:left="720" w:hanging="720"/>
        <w:jc w:val="both"/>
        <w:rPr>
          <w:rFonts w:asciiTheme="minorHAnsi" w:hAnsiTheme="minorHAnsi" w:cstheme="minorHAnsi"/>
        </w:rPr>
      </w:pPr>
      <w:r w:rsidRPr="00D97CCD">
        <w:rPr>
          <w:rFonts w:asciiTheme="minorHAnsi" w:hAnsiTheme="minorHAnsi" w:cstheme="minorHAnsi"/>
        </w:rPr>
        <w:t xml:space="preserve">Further considerations will arise if the claimant is a litigant-in-person. If that is the case, the </w:t>
      </w:r>
      <w:r w:rsidR="00BB2631" w:rsidRPr="00D97CCD">
        <w:rPr>
          <w:rFonts w:asciiTheme="minorHAnsi" w:hAnsiTheme="minorHAnsi" w:cstheme="minorHAnsi"/>
        </w:rPr>
        <w:t>d</w:t>
      </w:r>
      <w:r w:rsidRPr="00D97CCD">
        <w:rPr>
          <w:rFonts w:asciiTheme="minorHAnsi" w:hAnsiTheme="minorHAnsi" w:cstheme="minorHAnsi"/>
        </w:rPr>
        <w:t xml:space="preserve">efendant ought to assist them, including (for example) in the preparation of bundles. </w:t>
      </w:r>
    </w:p>
    <w:p w14:paraId="4550DC07" w14:textId="77777777" w:rsidR="00C02D3A" w:rsidRPr="00D97CCD" w:rsidRDefault="00963EDB" w:rsidP="00A8386F">
      <w:pPr>
        <w:keepNext/>
        <w:spacing w:after="240" w:line="360" w:lineRule="auto"/>
        <w:ind w:left="720"/>
        <w:jc w:val="both"/>
        <w:rPr>
          <w:rFonts w:asciiTheme="minorHAnsi" w:hAnsiTheme="minorHAnsi" w:cstheme="minorHAnsi"/>
          <w:b/>
        </w:rPr>
      </w:pPr>
      <w:r w:rsidRPr="00D97CCD">
        <w:rPr>
          <w:rFonts w:asciiTheme="minorHAnsi" w:hAnsiTheme="minorHAnsi" w:cstheme="minorHAnsi"/>
          <w:b/>
        </w:rPr>
        <w:t>The Morning After</w:t>
      </w:r>
    </w:p>
    <w:p w14:paraId="4A15BF33" w14:textId="00527B73" w:rsidR="00000500" w:rsidRPr="00D97CCD" w:rsidRDefault="0088552B" w:rsidP="001C7D7E">
      <w:pPr>
        <w:numPr>
          <w:ilvl w:val="0"/>
          <w:numId w:val="8"/>
        </w:numPr>
        <w:spacing w:after="240" w:line="360" w:lineRule="auto"/>
        <w:ind w:left="720" w:hanging="720"/>
        <w:jc w:val="both"/>
        <w:rPr>
          <w:rFonts w:asciiTheme="minorHAnsi" w:hAnsiTheme="minorHAnsi" w:cstheme="minorHAnsi"/>
        </w:rPr>
      </w:pPr>
      <w:r w:rsidRPr="00D97CCD">
        <w:rPr>
          <w:rFonts w:asciiTheme="minorHAnsi" w:hAnsiTheme="minorHAnsi" w:cstheme="minorHAnsi"/>
        </w:rPr>
        <w:t>‘</w:t>
      </w:r>
      <w:proofErr w:type="spellStart"/>
      <w:r w:rsidR="00150497" w:rsidRPr="00D97CCD">
        <w:rPr>
          <w:rFonts w:asciiTheme="minorHAnsi" w:hAnsiTheme="minorHAnsi" w:cstheme="minorHAnsi"/>
        </w:rPr>
        <w:t>Consequential</w:t>
      </w:r>
      <w:r w:rsidR="002622A1" w:rsidRPr="00D97CCD">
        <w:rPr>
          <w:rFonts w:asciiTheme="minorHAnsi" w:hAnsiTheme="minorHAnsi" w:cstheme="minorHAnsi"/>
        </w:rPr>
        <w:t>s</w:t>
      </w:r>
      <w:proofErr w:type="spellEnd"/>
      <w:r w:rsidRPr="00D97CCD">
        <w:rPr>
          <w:rFonts w:asciiTheme="minorHAnsi" w:hAnsiTheme="minorHAnsi" w:cstheme="minorHAnsi"/>
        </w:rPr>
        <w:t>’</w:t>
      </w:r>
      <w:r w:rsidR="00AB4208" w:rsidRPr="00D97CCD">
        <w:rPr>
          <w:rFonts w:asciiTheme="minorHAnsi" w:hAnsiTheme="minorHAnsi" w:cstheme="minorHAnsi"/>
        </w:rPr>
        <w:t xml:space="preserve"> will have to be dealt with in the usual way – an order will need to be drawn up and agreed, covering costs and any application for permission to appeal.</w:t>
      </w:r>
    </w:p>
    <w:p w14:paraId="3F54EC62" w14:textId="39FFFB3B" w:rsidR="00000500" w:rsidRPr="00D97CCD" w:rsidRDefault="00AB4208" w:rsidP="001C7D7E">
      <w:pPr>
        <w:numPr>
          <w:ilvl w:val="0"/>
          <w:numId w:val="8"/>
        </w:numPr>
        <w:spacing w:after="240" w:line="360" w:lineRule="auto"/>
        <w:ind w:left="720" w:hanging="720"/>
        <w:jc w:val="both"/>
        <w:rPr>
          <w:rFonts w:asciiTheme="minorHAnsi" w:hAnsiTheme="minorHAnsi" w:cstheme="minorHAnsi"/>
        </w:rPr>
      </w:pPr>
      <w:r w:rsidRPr="00D97CCD">
        <w:rPr>
          <w:rFonts w:asciiTheme="minorHAnsi" w:hAnsiTheme="minorHAnsi" w:cstheme="minorHAnsi"/>
        </w:rPr>
        <w:t xml:space="preserve">If the claim was successful, the </w:t>
      </w:r>
      <w:r w:rsidR="00BB2631" w:rsidRPr="00D97CCD">
        <w:rPr>
          <w:rFonts w:asciiTheme="minorHAnsi" w:hAnsiTheme="minorHAnsi" w:cstheme="minorHAnsi"/>
        </w:rPr>
        <w:t>d</w:t>
      </w:r>
      <w:r w:rsidRPr="00D97CCD">
        <w:rPr>
          <w:rFonts w:asciiTheme="minorHAnsi" w:hAnsiTheme="minorHAnsi" w:cstheme="minorHAnsi"/>
        </w:rPr>
        <w:t xml:space="preserve">efendant will need to consider if they wish to appeal. That may turn (amongst other things) on whether there is a point of legal principle in the judgment or whether it is fact specific. Advice will need to be given on </w:t>
      </w:r>
      <w:r w:rsidR="008212A3" w:rsidRPr="00D97CCD">
        <w:rPr>
          <w:rFonts w:asciiTheme="minorHAnsi" w:hAnsiTheme="minorHAnsi" w:cstheme="minorHAnsi"/>
        </w:rPr>
        <w:t>merits</w:t>
      </w:r>
      <w:r w:rsidRPr="00D97CCD">
        <w:rPr>
          <w:rFonts w:asciiTheme="minorHAnsi" w:hAnsiTheme="minorHAnsi" w:cstheme="minorHAnsi"/>
        </w:rPr>
        <w:t xml:space="preserve"> and costs. </w:t>
      </w:r>
    </w:p>
    <w:p w14:paraId="57E8C901" w14:textId="34CA2DC8" w:rsidR="00341C8C" w:rsidRDefault="00AB4208" w:rsidP="00341C8C">
      <w:pPr>
        <w:numPr>
          <w:ilvl w:val="0"/>
          <w:numId w:val="8"/>
        </w:numPr>
        <w:spacing w:after="240" w:line="360" w:lineRule="auto"/>
        <w:ind w:left="720" w:hanging="720"/>
        <w:jc w:val="both"/>
        <w:rPr>
          <w:rFonts w:asciiTheme="minorHAnsi" w:hAnsiTheme="minorHAnsi" w:cstheme="minorHAnsi"/>
        </w:rPr>
      </w:pPr>
      <w:r w:rsidRPr="00D97CCD">
        <w:rPr>
          <w:rFonts w:asciiTheme="minorHAnsi" w:hAnsiTheme="minorHAnsi" w:cstheme="minorHAnsi"/>
        </w:rPr>
        <w:t>A further consideration is what</w:t>
      </w:r>
      <w:r w:rsidR="008212A3" w:rsidRPr="00D97CCD">
        <w:rPr>
          <w:rFonts w:asciiTheme="minorHAnsi" w:hAnsiTheme="minorHAnsi" w:cstheme="minorHAnsi"/>
        </w:rPr>
        <w:t xml:space="preserve"> (if anything)</w:t>
      </w:r>
      <w:r w:rsidRPr="00D97CCD">
        <w:rPr>
          <w:rFonts w:asciiTheme="minorHAnsi" w:hAnsiTheme="minorHAnsi" w:cstheme="minorHAnsi"/>
        </w:rPr>
        <w:t xml:space="preserve"> needs to be done differently in the meantime.</w:t>
      </w:r>
      <w:r w:rsidR="008212A3" w:rsidRPr="00D97CCD">
        <w:rPr>
          <w:rFonts w:asciiTheme="minorHAnsi" w:hAnsiTheme="minorHAnsi" w:cstheme="minorHAnsi"/>
        </w:rPr>
        <w:t xml:space="preserve"> This will depend on the relief granted. Per CPR r.52.16, an appeal does not operate as a stay of any order or decision of the lower court, unless an appeal court or a lower court orders otherwise or the appeal is from the Immigration and Asylum Chamber of the Upper Tribunal.</w:t>
      </w:r>
      <w:r w:rsidRPr="00D97CCD">
        <w:rPr>
          <w:rFonts w:asciiTheme="minorHAnsi" w:hAnsiTheme="minorHAnsi" w:cstheme="minorHAnsi"/>
        </w:rPr>
        <w:t xml:space="preserve"> </w:t>
      </w:r>
    </w:p>
    <w:p w14:paraId="31CCC79B" w14:textId="1F10A6D2" w:rsidR="00341C8C" w:rsidRPr="00341C8C" w:rsidRDefault="00341C8C" w:rsidP="00341C8C">
      <w:pPr>
        <w:spacing w:after="240" w:line="360" w:lineRule="auto"/>
        <w:jc w:val="right"/>
        <w:rPr>
          <w:rFonts w:asciiTheme="minorHAnsi" w:hAnsiTheme="minorHAnsi" w:cstheme="minorHAnsi"/>
          <w:b/>
          <w:bCs/>
        </w:rPr>
      </w:pPr>
      <w:r w:rsidRPr="00341C8C">
        <w:rPr>
          <w:rFonts w:asciiTheme="minorHAnsi" w:hAnsiTheme="minorHAnsi" w:cstheme="minorHAnsi"/>
          <w:b/>
          <w:bCs/>
        </w:rPr>
        <w:t>Public Law Project</w:t>
      </w:r>
    </w:p>
    <w:p w14:paraId="1B581543" w14:textId="59FB8FCD" w:rsidR="00341C8C" w:rsidRPr="00341C8C" w:rsidRDefault="00341C8C" w:rsidP="00341C8C">
      <w:pPr>
        <w:spacing w:after="240" w:line="360" w:lineRule="auto"/>
        <w:jc w:val="right"/>
        <w:rPr>
          <w:rFonts w:asciiTheme="minorHAnsi" w:hAnsiTheme="minorHAnsi" w:cstheme="minorHAnsi"/>
          <w:i/>
          <w:iCs/>
        </w:rPr>
      </w:pPr>
      <w:r w:rsidRPr="00341C8C">
        <w:rPr>
          <w:rFonts w:asciiTheme="minorHAnsi" w:hAnsiTheme="minorHAnsi" w:cstheme="minorHAnsi"/>
          <w:i/>
          <w:iCs/>
        </w:rPr>
        <w:t>Updated by Sir Jonthan Jones</w:t>
      </w:r>
      <w:r w:rsidR="00A6209F">
        <w:rPr>
          <w:rFonts w:asciiTheme="minorHAnsi" w:hAnsiTheme="minorHAnsi" w:cstheme="minorHAnsi"/>
          <w:i/>
          <w:iCs/>
        </w:rPr>
        <w:t xml:space="preserve"> of Linklaters</w:t>
      </w:r>
      <w:r w:rsidRPr="00341C8C">
        <w:rPr>
          <w:rFonts w:asciiTheme="minorHAnsi" w:hAnsiTheme="minorHAnsi" w:cstheme="minorHAnsi"/>
          <w:i/>
          <w:iCs/>
        </w:rPr>
        <w:t xml:space="preserve"> </w:t>
      </w:r>
      <w:r>
        <w:rPr>
          <w:rFonts w:asciiTheme="minorHAnsi" w:hAnsiTheme="minorHAnsi" w:cstheme="minorHAnsi"/>
          <w:i/>
          <w:iCs/>
        </w:rPr>
        <w:t>in April 2026</w:t>
      </w:r>
    </w:p>
    <w:sectPr w:rsidR="00341C8C" w:rsidRPr="00341C8C" w:rsidSect="00FF6C3F">
      <w:headerReference w:type="default" r:id="rId11"/>
      <w:footerReference w:type="even" r:id="rId12"/>
      <w:footerReference w:type="default" r:id="rId13"/>
      <w:pgSz w:w="11906" w:h="16838" w:code="9"/>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38C7D" w14:textId="77777777" w:rsidR="0025283A" w:rsidRDefault="0025283A">
      <w:r>
        <w:separator/>
      </w:r>
    </w:p>
  </w:endnote>
  <w:endnote w:type="continuationSeparator" w:id="0">
    <w:p w14:paraId="611EF890" w14:textId="77777777" w:rsidR="0025283A" w:rsidRDefault="00252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erpetua">
    <w:panose1 w:val="02020502060401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651597167"/>
      <w:docPartObj>
        <w:docPartGallery w:val="Page Numbers (Bottom of Page)"/>
        <w:docPartUnique/>
      </w:docPartObj>
    </w:sdtPr>
    <w:sdtContent>
      <w:p w14:paraId="3919BAE2" w14:textId="77777777" w:rsidR="00A05DC2" w:rsidRDefault="00A05DC2" w:rsidP="001726D7">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B23557B" w14:textId="77777777" w:rsidR="00A05DC2" w:rsidRDefault="00A05D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Fonts w:ascii="Arial" w:hAnsi="Arial" w:cs="Arial"/>
        <w:sz w:val="20"/>
      </w:rPr>
      <w:id w:val="-1797898132"/>
      <w:docPartObj>
        <w:docPartGallery w:val="Page Numbers (Bottom of Page)"/>
        <w:docPartUnique/>
      </w:docPartObj>
    </w:sdtPr>
    <w:sdtContent>
      <w:p w14:paraId="784B3B41" w14:textId="77777777" w:rsidR="00A05DC2" w:rsidRPr="009A2C80" w:rsidRDefault="00A05DC2" w:rsidP="001726D7">
        <w:pPr>
          <w:pStyle w:val="Footer"/>
          <w:framePr w:wrap="none" w:vAnchor="text" w:hAnchor="margin" w:xAlign="center" w:y="1"/>
          <w:rPr>
            <w:rStyle w:val="PageNumber"/>
            <w:rFonts w:ascii="Arial" w:hAnsi="Arial" w:cs="Arial"/>
            <w:sz w:val="20"/>
          </w:rPr>
        </w:pPr>
        <w:r w:rsidRPr="009A2C80">
          <w:rPr>
            <w:rStyle w:val="PageNumber"/>
            <w:rFonts w:ascii="Arial" w:hAnsi="Arial" w:cs="Arial"/>
            <w:sz w:val="20"/>
          </w:rPr>
          <w:fldChar w:fldCharType="begin"/>
        </w:r>
        <w:r w:rsidRPr="009A2C80">
          <w:rPr>
            <w:rStyle w:val="PageNumber"/>
            <w:rFonts w:ascii="Arial" w:hAnsi="Arial" w:cs="Arial"/>
            <w:sz w:val="20"/>
          </w:rPr>
          <w:instrText xml:space="preserve"> PAGE </w:instrText>
        </w:r>
        <w:r w:rsidRPr="009A2C80">
          <w:rPr>
            <w:rStyle w:val="PageNumber"/>
            <w:rFonts w:ascii="Arial" w:hAnsi="Arial" w:cs="Arial"/>
            <w:sz w:val="20"/>
          </w:rPr>
          <w:fldChar w:fldCharType="separate"/>
        </w:r>
        <w:r w:rsidR="00375ECD" w:rsidRPr="009A2C80">
          <w:rPr>
            <w:rStyle w:val="PageNumber"/>
            <w:rFonts w:ascii="Arial" w:hAnsi="Arial" w:cs="Arial"/>
            <w:noProof/>
            <w:sz w:val="20"/>
          </w:rPr>
          <w:t>2</w:t>
        </w:r>
        <w:r w:rsidRPr="009A2C80">
          <w:rPr>
            <w:rStyle w:val="PageNumber"/>
            <w:rFonts w:ascii="Arial" w:hAnsi="Arial" w:cs="Arial"/>
            <w:sz w:val="20"/>
          </w:rPr>
          <w:fldChar w:fldCharType="end"/>
        </w:r>
      </w:p>
    </w:sdtContent>
  </w:sdt>
  <w:p w14:paraId="792D3488" w14:textId="77777777" w:rsidR="00A05DC2" w:rsidRDefault="00A05D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C780F" w14:textId="77777777" w:rsidR="0025283A" w:rsidRDefault="0025283A">
      <w:r>
        <w:separator/>
      </w:r>
    </w:p>
  </w:footnote>
  <w:footnote w:type="continuationSeparator" w:id="0">
    <w:p w14:paraId="411AA3A3" w14:textId="77777777" w:rsidR="0025283A" w:rsidRDefault="0025283A">
      <w:r>
        <w:continuationSeparator/>
      </w:r>
    </w:p>
  </w:footnote>
  <w:footnote w:id="1">
    <w:p w14:paraId="2FFF1862" w14:textId="103C522B" w:rsidR="00341C8C" w:rsidRPr="00341C8C" w:rsidRDefault="00341C8C">
      <w:pPr>
        <w:pStyle w:val="FootnoteText"/>
        <w:rPr>
          <w:rFonts w:asciiTheme="minorHAnsi" w:hAnsiTheme="minorHAnsi" w:cstheme="minorHAnsi"/>
          <w:sz w:val="18"/>
          <w:szCs w:val="18"/>
        </w:rPr>
      </w:pPr>
      <w:r w:rsidRPr="00341C8C">
        <w:rPr>
          <w:rStyle w:val="FootnoteReference"/>
          <w:rFonts w:asciiTheme="minorHAnsi" w:hAnsiTheme="minorHAnsi" w:cstheme="minorHAnsi"/>
          <w:sz w:val="18"/>
          <w:szCs w:val="18"/>
        </w:rPr>
        <w:footnoteRef/>
      </w:r>
      <w:r w:rsidRPr="00341C8C">
        <w:rPr>
          <w:rFonts w:asciiTheme="minorHAnsi" w:hAnsiTheme="minorHAnsi" w:cstheme="minorHAnsi"/>
          <w:sz w:val="18"/>
          <w:szCs w:val="18"/>
        </w:rPr>
        <w:t xml:space="preserve"> </w:t>
      </w:r>
      <w:r w:rsidRPr="00341C8C">
        <w:rPr>
          <w:rFonts w:asciiTheme="minorHAnsi" w:hAnsiTheme="minorHAnsi" w:cstheme="minorHAnsi"/>
          <w:sz w:val="18"/>
          <w:szCs w:val="18"/>
        </w:rPr>
        <w:t>With thanks to Malcolm Bird</w:t>
      </w:r>
      <w:r>
        <w:rPr>
          <w:rFonts w:asciiTheme="minorHAnsi" w:hAnsiTheme="minorHAnsi" w:cstheme="minorHAnsi"/>
          <w:sz w:val="18"/>
          <w:szCs w:val="18"/>
        </w:rPr>
        <w:t>l</w:t>
      </w:r>
      <w:r w:rsidRPr="00341C8C">
        <w:rPr>
          <w:rFonts w:asciiTheme="minorHAnsi" w:hAnsiTheme="minorHAnsi" w:cstheme="minorHAnsi"/>
          <w:sz w:val="18"/>
          <w:szCs w:val="18"/>
        </w:rPr>
        <w:t>ing</w:t>
      </w:r>
      <w:r>
        <w:rPr>
          <w:rFonts w:asciiTheme="minorHAnsi" w:hAnsiTheme="minorHAnsi" w:cstheme="minorHAnsi"/>
          <w:sz w:val="18"/>
          <w:szCs w:val="18"/>
        </w:rPr>
        <w:t xml:space="preserve"> of Brick Court Chambers</w:t>
      </w:r>
      <w:r w:rsidRPr="00341C8C">
        <w:rPr>
          <w:rFonts w:asciiTheme="minorHAnsi" w:hAnsiTheme="minorHAnsi" w:cstheme="minorHAnsi"/>
          <w:sz w:val="18"/>
          <w:szCs w:val="18"/>
        </w:rPr>
        <w:t xml:space="preserve"> for the creation of this paper.</w:t>
      </w:r>
    </w:p>
  </w:footnote>
  <w:footnote w:id="2">
    <w:p w14:paraId="6B995C37" w14:textId="25F57F69" w:rsidR="00963EDB" w:rsidRPr="00341C8C" w:rsidRDefault="00963EDB">
      <w:pPr>
        <w:pStyle w:val="FootnoteText"/>
        <w:rPr>
          <w:rFonts w:asciiTheme="minorHAnsi" w:hAnsiTheme="minorHAnsi" w:cstheme="minorHAnsi"/>
          <w:sz w:val="18"/>
          <w:szCs w:val="18"/>
        </w:rPr>
      </w:pPr>
      <w:r w:rsidRPr="00341C8C">
        <w:rPr>
          <w:rStyle w:val="FootnoteReference"/>
          <w:rFonts w:asciiTheme="minorHAnsi" w:hAnsiTheme="minorHAnsi" w:cstheme="minorHAnsi"/>
          <w:sz w:val="18"/>
          <w:szCs w:val="18"/>
        </w:rPr>
        <w:footnoteRef/>
      </w:r>
      <w:r w:rsidRPr="00341C8C">
        <w:rPr>
          <w:rFonts w:asciiTheme="minorHAnsi" w:hAnsiTheme="minorHAnsi" w:cstheme="minorHAnsi"/>
          <w:sz w:val="18"/>
          <w:szCs w:val="18"/>
        </w:rPr>
        <w:t xml:space="preserve"> See here:</w:t>
      </w:r>
      <w:r w:rsidR="00D97CCD" w:rsidRPr="00341C8C">
        <w:rPr>
          <w:rFonts w:asciiTheme="minorHAnsi" w:hAnsiTheme="minorHAnsi" w:cstheme="minorHAnsi"/>
          <w:sz w:val="18"/>
          <w:szCs w:val="18"/>
        </w:rPr>
        <w:t xml:space="preserve"> </w:t>
      </w:r>
      <w:hyperlink r:id="rId1" w:history="1">
        <w:r w:rsidR="00061AB6" w:rsidRPr="00341C8C">
          <w:rPr>
            <w:rStyle w:val="Hyperlink"/>
            <w:rFonts w:asciiTheme="minorHAnsi" w:hAnsiTheme="minorHAnsi" w:cstheme="minorHAnsi"/>
            <w:sz w:val="18"/>
            <w:szCs w:val="18"/>
          </w:rPr>
          <w:t>https://assets.publishing.service.gov.uk/media/672b7189abb279b2de1e8c59/AG_s_Legal_Risk_Guidance_2024.pdf</w:t>
        </w:r>
      </w:hyperlink>
      <w:r w:rsidR="008D5598" w:rsidRPr="00341C8C">
        <w:rPr>
          <w:rFonts w:asciiTheme="minorHAnsi" w:hAnsiTheme="minorHAnsi" w:cstheme="minorHAnsi"/>
          <w:sz w:val="18"/>
          <w:szCs w:val="18"/>
        </w:rPr>
        <w:t xml:space="preserve"> (last revised November 2024)</w:t>
      </w:r>
      <w:r w:rsidRPr="00341C8C">
        <w:rPr>
          <w:rFonts w:asciiTheme="minorHAnsi" w:hAnsiTheme="minorHAnsi" w:cstheme="minorHAnsi"/>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75148" w14:textId="1AA2C716" w:rsidR="00D05FA4" w:rsidRDefault="00491F1F">
    <w:pPr>
      <w:pStyle w:val="Header"/>
    </w:pPr>
    <w:r>
      <w:rPr>
        <w:rFonts w:ascii="Arial" w:eastAsia="Arial" w:hAnsi="Arial" w:cs="Arial"/>
        <w:b/>
        <w:noProof/>
        <w:color w:val="000000"/>
        <w:szCs w:val="24"/>
      </w:rPr>
      <w:drawing>
        <wp:anchor distT="0" distB="0" distL="114300" distR="114300" simplePos="0" relativeHeight="251659264" behindDoc="0" locked="0" layoutInCell="1" allowOverlap="1" wp14:anchorId="71BC6750" wp14:editId="51F978FC">
          <wp:simplePos x="0" y="0"/>
          <wp:positionH relativeFrom="column">
            <wp:posOffset>5706745</wp:posOffset>
          </wp:positionH>
          <wp:positionV relativeFrom="paragraph">
            <wp:posOffset>-306070</wp:posOffset>
          </wp:positionV>
          <wp:extent cx="745200" cy="586800"/>
          <wp:effectExtent l="0" t="0" r="0" b="3810"/>
          <wp:wrapNone/>
          <wp:docPr id="1955533343" name="Picture" descr="A blue cube with black text&#10;&#10;Description automatically generated"/>
          <wp:cNvGraphicFramePr/>
          <a:graphic xmlns:a="http://schemas.openxmlformats.org/drawingml/2006/main">
            <a:graphicData uri="http://schemas.openxmlformats.org/drawingml/2006/picture">
              <pic:pic xmlns:pic="http://schemas.openxmlformats.org/drawingml/2006/picture">
                <pic:nvPicPr>
                  <pic:cNvPr id="1762667007" name="Picture" descr="A blue cube with black text&#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5200" cy="586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215A0E"/>
    <w:multiLevelType w:val="hybridMultilevel"/>
    <w:tmpl w:val="0D2C91A6"/>
    <w:lvl w:ilvl="0" w:tplc="8BCA679C">
      <w:start w:val="1"/>
      <w:numFmt w:val="decimal"/>
      <w:lvlText w:val="%1."/>
      <w:lvlJc w:val="left"/>
      <w:pPr>
        <w:tabs>
          <w:tab w:val="num" w:pos="720"/>
        </w:tabs>
        <w:ind w:left="720" w:hanging="360"/>
      </w:pPr>
    </w:lvl>
    <w:lvl w:ilvl="1" w:tplc="3686F9EE" w:tentative="1">
      <w:start w:val="1"/>
      <w:numFmt w:val="lowerLetter"/>
      <w:lvlText w:val="%2."/>
      <w:lvlJc w:val="left"/>
      <w:pPr>
        <w:tabs>
          <w:tab w:val="num" w:pos="1440"/>
        </w:tabs>
        <w:ind w:left="1440" w:hanging="360"/>
      </w:pPr>
    </w:lvl>
    <w:lvl w:ilvl="2" w:tplc="C364494A" w:tentative="1">
      <w:start w:val="1"/>
      <w:numFmt w:val="lowerRoman"/>
      <w:lvlText w:val="%3."/>
      <w:lvlJc w:val="right"/>
      <w:pPr>
        <w:tabs>
          <w:tab w:val="num" w:pos="2160"/>
        </w:tabs>
        <w:ind w:left="2160" w:hanging="180"/>
      </w:pPr>
    </w:lvl>
    <w:lvl w:ilvl="3" w:tplc="1F66EF14" w:tentative="1">
      <w:start w:val="1"/>
      <w:numFmt w:val="decimal"/>
      <w:lvlText w:val="%4."/>
      <w:lvlJc w:val="left"/>
      <w:pPr>
        <w:tabs>
          <w:tab w:val="num" w:pos="2880"/>
        </w:tabs>
        <w:ind w:left="2880" w:hanging="360"/>
      </w:pPr>
    </w:lvl>
    <w:lvl w:ilvl="4" w:tplc="6F241A82" w:tentative="1">
      <w:start w:val="1"/>
      <w:numFmt w:val="lowerLetter"/>
      <w:lvlText w:val="%5."/>
      <w:lvlJc w:val="left"/>
      <w:pPr>
        <w:tabs>
          <w:tab w:val="num" w:pos="3600"/>
        </w:tabs>
        <w:ind w:left="3600" w:hanging="360"/>
      </w:pPr>
    </w:lvl>
    <w:lvl w:ilvl="5" w:tplc="4B64B78E" w:tentative="1">
      <w:start w:val="1"/>
      <w:numFmt w:val="lowerRoman"/>
      <w:lvlText w:val="%6."/>
      <w:lvlJc w:val="right"/>
      <w:pPr>
        <w:tabs>
          <w:tab w:val="num" w:pos="4320"/>
        </w:tabs>
        <w:ind w:left="4320" w:hanging="180"/>
      </w:pPr>
    </w:lvl>
    <w:lvl w:ilvl="6" w:tplc="591049F8" w:tentative="1">
      <w:start w:val="1"/>
      <w:numFmt w:val="decimal"/>
      <w:lvlText w:val="%7."/>
      <w:lvlJc w:val="left"/>
      <w:pPr>
        <w:tabs>
          <w:tab w:val="num" w:pos="5040"/>
        </w:tabs>
        <w:ind w:left="5040" w:hanging="360"/>
      </w:pPr>
    </w:lvl>
    <w:lvl w:ilvl="7" w:tplc="13B45F10" w:tentative="1">
      <w:start w:val="1"/>
      <w:numFmt w:val="lowerLetter"/>
      <w:lvlText w:val="%8."/>
      <w:lvlJc w:val="left"/>
      <w:pPr>
        <w:tabs>
          <w:tab w:val="num" w:pos="5760"/>
        </w:tabs>
        <w:ind w:left="5760" w:hanging="360"/>
      </w:pPr>
    </w:lvl>
    <w:lvl w:ilvl="8" w:tplc="58D8EF76" w:tentative="1">
      <w:start w:val="1"/>
      <w:numFmt w:val="lowerRoman"/>
      <w:lvlText w:val="%9."/>
      <w:lvlJc w:val="right"/>
      <w:pPr>
        <w:tabs>
          <w:tab w:val="num" w:pos="6480"/>
        </w:tabs>
        <w:ind w:left="6480" w:hanging="180"/>
      </w:pPr>
    </w:lvl>
  </w:abstractNum>
  <w:abstractNum w:abstractNumId="1" w15:restartNumberingAfterBreak="0">
    <w:nsid w:val="16E17412"/>
    <w:multiLevelType w:val="hybridMultilevel"/>
    <w:tmpl w:val="73C2563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15:restartNumberingAfterBreak="0">
    <w:nsid w:val="1EB25C62"/>
    <w:multiLevelType w:val="hybridMultilevel"/>
    <w:tmpl w:val="D818C7E8"/>
    <w:lvl w:ilvl="0" w:tplc="55C03F40">
      <w:start w:val="1"/>
      <w:numFmt w:val="upperRoman"/>
      <w:lvlText w:val="%1."/>
      <w:lvlJc w:val="left"/>
      <w:pPr>
        <w:ind w:left="3345" w:hanging="720"/>
      </w:pPr>
      <w:rPr>
        <w:rFonts w:hint="default"/>
      </w:rPr>
    </w:lvl>
    <w:lvl w:ilvl="1" w:tplc="04090019" w:tentative="1">
      <w:start w:val="1"/>
      <w:numFmt w:val="lowerLetter"/>
      <w:lvlText w:val="%2."/>
      <w:lvlJc w:val="left"/>
      <w:pPr>
        <w:ind w:left="3705" w:hanging="360"/>
      </w:pPr>
    </w:lvl>
    <w:lvl w:ilvl="2" w:tplc="0409001B" w:tentative="1">
      <w:start w:val="1"/>
      <w:numFmt w:val="lowerRoman"/>
      <w:lvlText w:val="%3."/>
      <w:lvlJc w:val="right"/>
      <w:pPr>
        <w:ind w:left="4425" w:hanging="180"/>
      </w:pPr>
    </w:lvl>
    <w:lvl w:ilvl="3" w:tplc="0409000F" w:tentative="1">
      <w:start w:val="1"/>
      <w:numFmt w:val="decimal"/>
      <w:lvlText w:val="%4."/>
      <w:lvlJc w:val="left"/>
      <w:pPr>
        <w:ind w:left="5145" w:hanging="360"/>
      </w:pPr>
    </w:lvl>
    <w:lvl w:ilvl="4" w:tplc="04090019" w:tentative="1">
      <w:start w:val="1"/>
      <w:numFmt w:val="lowerLetter"/>
      <w:lvlText w:val="%5."/>
      <w:lvlJc w:val="left"/>
      <w:pPr>
        <w:ind w:left="5865" w:hanging="360"/>
      </w:pPr>
    </w:lvl>
    <w:lvl w:ilvl="5" w:tplc="0409001B" w:tentative="1">
      <w:start w:val="1"/>
      <w:numFmt w:val="lowerRoman"/>
      <w:lvlText w:val="%6."/>
      <w:lvlJc w:val="right"/>
      <w:pPr>
        <w:ind w:left="6585" w:hanging="180"/>
      </w:pPr>
    </w:lvl>
    <w:lvl w:ilvl="6" w:tplc="0409000F" w:tentative="1">
      <w:start w:val="1"/>
      <w:numFmt w:val="decimal"/>
      <w:lvlText w:val="%7."/>
      <w:lvlJc w:val="left"/>
      <w:pPr>
        <w:ind w:left="7305" w:hanging="360"/>
      </w:pPr>
    </w:lvl>
    <w:lvl w:ilvl="7" w:tplc="04090019" w:tentative="1">
      <w:start w:val="1"/>
      <w:numFmt w:val="lowerLetter"/>
      <w:lvlText w:val="%8."/>
      <w:lvlJc w:val="left"/>
      <w:pPr>
        <w:ind w:left="8025" w:hanging="360"/>
      </w:pPr>
    </w:lvl>
    <w:lvl w:ilvl="8" w:tplc="0409001B" w:tentative="1">
      <w:start w:val="1"/>
      <w:numFmt w:val="lowerRoman"/>
      <w:lvlText w:val="%9."/>
      <w:lvlJc w:val="right"/>
      <w:pPr>
        <w:ind w:left="8745" w:hanging="180"/>
      </w:pPr>
    </w:lvl>
  </w:abstractNum>
  <w:abstractNum w:abstractNumId="3" w15:restartNumberingAfterBreak="0">
    <w:nsid w:val="25F54FA7"/>
    <w:multiLevelType w:val="hybridMultilevel"/>
    <w:tmpl w:val="DE0E65E6"/>
    <w:lvl w:ilvl="0" w:tplc="26C24EA4">
      <w:start w:val="1"/>
      <w:numFmt w:val="lowerRoman"/>
      <w:lvlText w:val="(%1)"/>
      <w:lvlJc w:val="left"/>
      <w:pPr>
        <w:tabs>
          <w:tab w:val="num" w:pos="1090"/>
        </w:tabs>
        <w:ind w:left="109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FE66F90"/>
    <w:multiLevelType w:val="hybridMultilevel"/>
    <w:tmpl w:val="4C804078"/>
    <w:lvl w:ilvl="0" w:tplc="B83C454E">
      <w:start w:val="1"/>
      <w:numFmt w:val="decimal"/>
      <w:lvlText w:val="%1."/>
      <w:lvlJc w:val="left"/>
      <w:pPr>
        <w:tabs>
          <w:tab w:val="num" w:pos="720"/>
        </w:tabs>
        <w:ind w:left="720" w:hanging="360"/>
      </w:pPr>
    </w:lvl>
    <w:lvl w:ilvl="1" w:tplc="3B98B66C" w:tentative="1">
      <w:start w:val="1"/>
      <w:numFmt w:val="lowerLetter"/>
      <w:lvlText w:val="%2."/>
      <w:lvlJc w:val="left"/>
      <w:pPr>
        <w:tabs>
          <w:tab w:val="num" w:pos="1440"/>
        </w:tabs>
        <w:ind w:left="1440" w:hanging="360"/>
      </w:pPr>
    </w:lvl>
    <w:lvl w:ilvl="2" w:tplc="F5764452" w:tentative="1">
      <w:start w:val="1"/>
      <w:numFmt w:val="lowerRoman"/>
      <w:lvlText w:val="%3."/>
      <w:lvlJc w:val="right"/>
      <w:pPr>
        <w:tabs>
          <w:tab w:val="num" w:pos="2160"/>
        </w:tabs>
        <w:ind w:left="2160" w:hanging="180"/>
      </w:pPr>
    </w:lvl>
    <w:lvl w:ilvl="3" w:tplc="8294EA64" w:tentative="1">
      <w:start w:val="1"/>
      <w:numFmt w:val="decimal"/>
      <w:lvlText w:val="%4."/>
      <w:lvlJc w:val="left"/>
      <w:pPr>
        <w:tabs>
          <w:tab w:val="num" w:pos="2880"/>
        </w:tabs>
        <w:ind w:left="2880" w:hanging="360"/>
      </w:pPr>
    </w:lvl>
    <w:lvl w:ilvl="4" w:tplc="8DECFAE6" w:tentative="1">
      <w:start w:val="1"/>
      <w:numFmt w:val="lowerLetter"/>
      <w:lvlText w:val="%5."/>
      <w:lvlJc w:val="left"/>
      <w:pPr>
        <w:tabs>
          <w:tab w:val="num" w:pos="3600"/>
        </w:tabs>
        <w:ind w:left="3600" w:hanging="360"/>
      </w:pPr>
    </w:lvl>
    <w:lvl w:ilvl="5" w:tplc="F69A058A" w:tentative="1">
      <w:start w:val="1"/>
      <w:numFmt w:val="lowerRoman"/>
      <w:lvlText w:val="%6."/>
      <w:lvlJc w:val="right"/>
      <w:pPr>
        <w:tabs>
          <w:tab w:val="num" w:pos="4320"/>
        </w:tabs>
        <w:ind w:left="4320" w:hanging="180"/>
      </w:pPr>
    </w:lvl>
    <w:lvl w:ilvl="6" w:tplc="E3B892E8" w:tentative="1">
      <w:start w:val="1"/>
      <w:numFmt w:val="decimal"/>
      <w:lvlText w:val="%7."/>
      <w:lvlJc w:val="left"/>
      <w:pPr>
        <w:tabs>
          <w:tab w:val="num" w:pos="5040"/>
        </w:tabs>
        <w:ind w:left="5040" w:hanging="360"/>
      </w:pPr>
    </w:lvl>
    <w:lvl w:ilvl="7" w:tplc="56CEA998" w:tentative="1">
      <w:start w:val="1"/>
      <w:numFmt w:val="lowerLetter"/>
      <w:lvlText w:val="%8."/>
      <w:lvlJc w:val="left"/>
      <w:pPr>
        <w:tabs>
          <w:tab w:val="num" w:pos="5760"/>
        </w:tabs>
        <w:ind w:left="5760" w:hanging="360"/>
      </w:pPr>
    </w:lvl>
    <w:lvl w:ilvl="8" w:tplc="952C1D68" w:tentative="1">
      <w:start w:val="1"/>
      <w:numFmt w:val="lowerRoman"/>
      <w:lvlText w:val="%9."/>
      <w:lvlJc w:val="right"/>
      <w:pPr>
        <w:tabs>
          <w:tab w:val="num" w:pos="6480"/>
        </w:tabs>
        <w:ind w:left="6480" w:hanging="180"/>
      </w:pPr>
    </w:lvl>
  </w:abstractNum>
  <w:abstractNum w:abstractNumId="5" w15:restartNumberingAfterBreak="0">
    <w:nsid w:val="51963B0F"/>
    <w:multiLevelType w:val="hybridMultilevel"/>
    <w:tmpl w:val="FDA2DA14"/>
    <w:lvl w:ilvl="0" w:tplc="20BC4694">
      <w:start w:val="1"/>
      <w:numFmt w:val="decimal"/>
      <w:lvlText w:val="%1."/>
      <w:lvlJc w:val="left"/>
      <w:pPr>
        <w:tabs>
          <w:tab w:val="num" w:pos="1105"/>
        </w:tabs>
        <w:ind w:left="1105" w:hanging="360"/>
      </w:pPr>
    </w:lvl>
    <w:lvl w:ilvl="1" w:tplc="F4CA7144" w:tentative="1">
      <w:start w:val="1"/>
      <w:numFmt w:val="lowerLetter"/>
      <w:lvlText w:val="%2."/>
      <w:lvlJc w:val="left"/>
      <w:pPr>
        <w:tabs>
          <w:tab w:val="num" w:pos="1825"/>
        </w:tabs>
        <w:ind w:left="1825" w:hanging="360"/>
      </w:pPr>
    </w:lvl>
    <w:lvl w:ilvl="2" w:tplc="CFC8DA96" w:tentative="1">
      <w:start w:val="1"/>
      <w:numFmt w:val="lowerRoman"/>
      <w:lvlText w:val="%3."/>
      <w:lvlJc w:val="right"/>
      <w:pPr>
        <w:tabs>
          <w:tab w:val="num" w:pos="2545"/>
        </w:tabs>
        <w:ind w:left="2545" w:hanging="180"/>
      </w:pPr>
    </w:lvl>
    <w:lvl w:ilvl="3" w:tplc="2F74D2C4" w:tentative="1">
      <w:start w:val="1"/>
      <w:numFmt w:val="decimal"/>
      <w:lvlText w:val="%4."/>
      <w:lvlJc w:val="left"/>
      <w:pPr>
        <w:tabs>
          <w:tab w:val="num" w:pos="3265"/>
        </w:tabs>
        <w:ind w:left="3265" w:hanging="360"/>
      </w:pPr>
    </w:lvl>
    <w:lvl w:ilvl="4" w:tplc="49549800" w:tentative="1">
      <w:start w:val="1"/>
      <w:numFmt w:val="lowerLetter"/>
      <w:lvlText w:val="%5."/>
      <w:lvlJc w:val="left"/>
      <w:pPr>
        <w:tabs>
          <w:tab w:val="num" w:pos="3985"/>
        </w:tabs>
        <w:ind w:left="3985" w:hanging="360"/>
      </w:pPr>
    </w:lvl>
    <w:lvl w:ilvl="5" w:tplc="A1A83D0E" w:tentative="1">
      <w:start w:val="1"/>
      <w:numFmt w:val="lowerRoman"/>
      <w:lvlText w:val="%6."/>
      <w:lvlJc w:val="right"/>
      <w:pPr>
        <w:tabs>
          <w:tab w:val="num" w:pos="4705"/>
        </w:tabs>
        <w:ind w:left="4705" w:hanging="180"/>
      </w:pPr>
    </w:lvl>
    <w:lvl w:ilvl="6" w:tplc="A2B8D62A" w:tentative="1">
      <w:start w:val="1"/>
      <w:numFmt w:val="decimal"/>
      <w:lvlText w:val="%7."/>
      <w:lvlJc w:val="left"/>
      <w:pPr>
        <w:tabs>
          <w:tab w:val="num" w:pos="5425"/>
        </w:tabs>
        <w:ind w:left="5425" w:hanging="360"/>
      </w:pPr>
    </w:lvl>
    <w:lvl w:ilvl="7" w:tplc="C6EAB69C" w:tentative="1">
      <w:start w:val="1"/>
      <w:numFmt w:val="lowerLetter"/>
      <w:lvlText w:val="%8."/>
      <w:lvlJc w:val="left"/>
      <w:pPr>
        <w:tabs>
          <w:tab w:val="num" w:pos="6145"/>
        </w:tabs>
        <w:ind w:left="6145" w:hanging="360"/>
      </w:pPr>
    </w:lvl>
    <w:lvl w:ilvl="8" w:tplc="1ACC7166" w:tentative="1">
      <w:start w:val="1"/>
      <w:numFmt w:val="lowerRoman"/>
      <w:lvlText w:val="%9."/>
      <w:lvlJc w:val="right"/>
      <w:pPr>
        <w:tabs>
          <w:tab w:val="num" w:pos="6865"/>
        </w:tabs>
        <w:ind w:left="6865" w:hanging="180"/>
      </w:pPr>
    </w:lvl>
  </w:abstractNum>
  <w:abstractNum w:abstractNumId="6" w15:restartNumberingAfterBreak="0">
    <w:nsid w:val="53825FD0"/>
    <w:multiLevelType w:val="multilevel"/>
    <w:tmpl w:val="8598C048"/>
    <w:lvl w:ilvl="0">
      <w:start w:val="1"/>
      <w:numFmt w:val="decimal"/>
      <w:lvlText w:val="%1."/>
      <w:lvlJc w:val="left"/>
      <w:pPr>
        <w:tabs>
          <w:tab w:val="num" w:pos="567"/>
        </w:tabs>
        <w:ind w:left="567" w:hanging="567"/>
      </w:pPr>
      <w:rPr>
        <w:rFonts w:hint="default"/>
        <w:b w:val="0"/>
        <w:bCs w:val="0"/>
        <w:i w:val="0"/>
        <w:iCs w:val="0"/>
        <w:color w:val="auto"/>
        <w:u w:val="none"/>
      </w:rPr>
    </w:lvl>
    <w:lvl w:ilvl="1">
      <w:start w:val="1"/>
      <w:numFmt w:val="lowerLetter"/>
      <w:lvlText w:val="(%2)"/>
      <w:lvlJc w:val="left"/>
      <w:pPr>
        <w:tabs>
          <w:tab w:val="num" w:pos="1134"/>
        </w:tabs>
        <w:ind w:left="1134" w:hanging="567"/>
      </w:pPr>
      <w:rPr>
        <w:rFonts w:hint="default"/>
        <w:color w:val="auto"/>
      </w:rPr>
    </w:lvl>
    <w:lvl w:ilvl="2">
      <w:start w:val="1"/>
      <w:numFmt w:val="decimal"/>
      <w:lvlText w:val="(%3)"/>
      <w:lvlJc w:val="left"/>
      <w:pPr>
        <w:tabs>
          <w:tab w:val="num" w:pos="1701"/>
        </w:tabs>
        <w:ind w:left="1701" w:hanging="567"/>
      </w:pPr>
      <w:rPr>
        <w:rFonts w:hint="default"/>
      </w:rPr>
    </w:lvl>
    <w:lvl w:ilvl="3">
      <w:start w:val="1"/>
      <w:numFmt w:val="lowerRoman"/>
      <w:lvlText w:val="(%4)"/>
      <w:lvlJc w:val="left"/>
      <w:pPr>
        <w:tabs>
          <w:tab w:val="num" w:pos="2268"/>
        </w:tabs>
        <w:ind w:left="2268" w:hanging="567"/>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53A700C6"/>
    <w:multiLevelType w:val="hybridMultilevel"/>
    <w:tmpl w:val="CFD0DF5A"/>
    <w:lvl w:ilvl="0" w:tplc="55E6D0FE">
      <w:start w:val="1"/>
      <w:numFmt w:val="decimal"/>
      <w:lvlText w:val="%1."/>
      <w:lvlJc w:val="left"/>
      <w:pPr>
        <w:tabs>
          <w:tab w:val="num" w:pos="720"/>
        </w:tabs>
        <w:ind w:left="720" w:hanging="360"/>
      </w:pPr>
    </w:lvl>
    <w:lvl w:ilvl="1" w:tplc="5FE08B2E" w:tentative="1">
      <w:start w:val="1"/>
      <w:numFmt w:val="lowerLetter"/>
      <w:lvlText w:val="%2."/>
      <w:lvlJc w:val="left"/>
      <w:pPr>
        <w:tabs>
          <w:tab w:val="num" w:pos="1440"/>
        </w:tabs>
        <w:ind w:left="1440" w:hanging="360"/>
      </w:pPr>
    </w:lvl>
    <w:lvl w:ilvl="2" w:tplc="E7A6816A" w:tentative="1">
      <w:start w:val="1"/>
      <w:numFmt w:val="lowerRoman"/>
      <w:lvlText w:val="%3."/>
      <w:lvlJc w:val="right"/>
      <w:pPr>
        <w:tabs>
          <w:tab w:val="num" w:pos="2160"/>
        </w:tabs>
        <w:ind w:left="2160" w:hanging="180"/>
      </w:pPr>
    </w:lvl>
    <w:lvl w:ilvl="3" w:tplc="3070C3AA" w:tentative="1">
      <w:start w:val="1"/>
      <w:numFmt w:val="decimal"/>
      <w:lvlText w:val="%4."/>
      <w:lvlJc w:val="left"/>
      <w:pPr>
        <w:tabs>
          <w:tab w:val="num" w:pos="2880"/>
        </w:tabs>
        <w:ind w:left="2880" w:hanging="360"/>
      </w:pPr>
    </w:lvl>
    <w:lvl w:ilvl="4" w:tplc="09F2FE5E" w:tentative="1">
      <w:start w:val="1"/>
      <w:numFmt w:val="lowerLetter"/>
      <w:lvlText w:val="%5."/>
      <w:lvlJc w:val="left"/>
      <w:pPr>
        <w:tabs>
          <w:tab w:val="num" w:pos="3600"/>
        </w:tabs>
        <w:ind w:left="3600" w:hanging="360"/>
      </w:pPr>
    </w:lvl>
    <w:lvl w:ilvl="5" w:tplc="EF3ECA84" w:tentative="1">
      <w:start w:val="1"/>
      <w:numFmt w:val="lowerRoman"/>
      <w:lvlText w:val="%6."/>
      <w:lvlJc w:val="right"/>
      <w:pPr>
        <w:tabs>
          <w:tab w:val="num" w:pos="4320"/>
        </w:tabs>
        <w:ind w:left="4320" w:hanging="180"/>
      </w:pPr>
    </w:lvl>
    <w:lvl w:ilvl="6" w:tplc="DFE27A3A" w:tentative="1">
      <w:start w:val="1"/>
      <w:numFmt w:val="decimal"/>
      <w:lvlText w:val="%7."/>
      <w:lvlJc w:val="left"/>
      <w:pPr>
        <w:tabs>
          <w:tab w:val="num" w:pos="5040"/>
        </w:tabs>
        <w:ind w:left="5040" w:hanging="360"/>
      </w:pPr>
    </w:lvl>
    <w:lvl w:ilvl="7" w:tplc="7E340F70" w:tentative="1">
      <w:start w:val="1"/>
      <w:numFmt w:val="lowerLetter"/>
      <w:lvlText w:val="%8."/>
      <w:lvlJc w:val="left"/>
      <w:pPr>
        <w:tabs>
          <w:tab w:val="num" w:pos="5760"/>
        </w:tabs>
        <w:ind w:left="5760" w:hanging="360"/>
      </w:pPr>
    </w:lvl>
    <w:lvl w:ilvl="8" w:tplc="78944340" w:tentative="1">
      <w:start w:val="1"/>
      <w:numFmt w:val="lowerRoman"/>
      <w:lvlText w:val="%9."/>
      <w:lvlJc w:val="right"/>
      <w:pPr>
        <w:tabs>
          <w:tab w:val="num" w:pos="6480"/>
        </w:tabs>
        <w:ind w:left="6480" w:hanging="180"/>
      </w:pPr>
    </w:lvl>
  </w:abstractNum>
  <w:abstractNum w:abstractNumId="8" w15:restartNumberingAfterBreak="0">
    <w:nsid w:val="638520D2"/>
    <w:multiLevelType w:val="hybridMultilevel"/>
    <w:tmpl w:val="BB228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D092E6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FDF1054"/>
    <w:multiLevelType w:val="hybridMultilevel"/>
    <w:tmpl w:val="1BB65918"/>
    <w:lvl w:ilvl="0" w:tplc="560A22F2">
      <w:start w:val="1"/>
      <w:numFmt w:val="decimal"/>
      <w:lvlText w:val="%1."/>
      <w:lvlJc w:val="left"/>
      <w:pPr>
        <w:tabs>
          <w:tab w:val="num" w:pos="717"/>
        </w:tabs>
        <w:ind w:left="717" w:hanging="360"/>
      </w:pPr>
      <w:rPr>
        <w:rFonts w:asciiTheme="minorHAnsi" w:hAnsiTheme="minorHAnsi" w:cstheme="minorHAnsi" w:hint="default"/>
        <w:i w:val="0"/>
      </w:rPr>
    </w:lvl>
    <w:lvl w:ilvl="1" w:tplc="26C24EA4">
      <w:start w:val="1"/>
      <w:numFmt w:val="lowerRoman"/>
      <w:lvlText w:val="(%2)"/>
      <w:lvlJc w:val="left"/>
      <w:pPr>
        <w:tabs>
          <w:tab w:val="num" w:pos="1447"/>
        </w:tabs>
        <w:ind w:left="1447" w:hanging="720"/>
      </w:pPr>
      <w:rPr>
        <w:rFonts w:hint="default"/>
      </w:rPr>
    </w:lvl>
    <w:lvl w:ilvl="2" w:tplc="0409001B">
      <w:start w:val="1"/>
      <w:numFmt w:val="lowerRoman"/>
      <w:lvlText w:val="%3."/>
      <w:lvlJc w:val="right"/>
      <w:pPr>
        <w:tabs>
          <w:tab w:val="num" w:pos="1807"/>
        </w:tabs>
        <w:ind w:left="1807" w:hanging="180"/>
      </w:pPr>
    </w:lvl>
    <w:lvl w:ilvl="3" w:tplc="0409000F" w:tentative="1">
      <w:start w:val="1"/>
      <w:numFmt w:val="decimal"/>
      <w:lvlText w:val="%4."/>
      <w:lvlJc w:val="left"/>
      <w:pPr>
        <w:tabs>
          <w:tab w:val="num" w:pos="2527"/>
        </w:tabs>
        <w:ind w:left="2527" w:hanging="360"/>
      </w:pPr>
    </w:lvl>
    <w:lvl w:ilvl="4" w:tplc="04090019" w:tentative="1">
      <w:start w:val="1"/>
      <w:numFmt w:val="lowerLetter"/>
      <w:lvlText w:val="%5."/>
      <w:lvlJc w:val="left"/>
      <w:pPr>
        <w:tabs>
          <w:tab w:val="num" w:pos="3247"/>
        </w:tabs>
        <w:ind w:left="3247" w:hanging="360"/>
      </w:pPr>
    </w:lvl>
    <w:lvl w:ilvl="5" w:tplc="0409001B" w:tentative="1">
      <w:start w:val="1"/>
      <w:numFmt w:val="lowerRoman"/>
      <w:lvlText w:val="%6."/>
      <w:lvlJc w:val="right"/>
      <w:pPr>
        <w:tabs>
          <w:tab w:val="num" w:pos="3967"/>
        </w:tabs>
        <w:ind w:left="3967" w:hanging="180"/>
      </w:pPr>
    </w:lvl>
    <w:lvl w:ilvl="6" w:tplc="0409000F" w:tentative="1">
      <w:start w:val="1"/>
      <w:numFmt w:val="decimal"/>
      <w:lvlText w:val="%7."/>
      <w:lvlJc w:val="left"/>
      <w:pPr>
        <w:tabs>
          <w:tab w:val="num" w:pos="4687"/>
        </w:tabs>
        <w:ind w:left="4687" w:hanging="360"/>
      </w:pPr>
    </w:lvl>
    <w:lvl w:ilvl="7" w:tplc="04090019" w:tentative="1">
      <w:start w:val="1"/>
      <w:numFmt w:val="lowerLetter"/>
      <w:lvlText w:val="%8."/>
      <w:lvlJc w:val="left"/>
      <w:pPr>
        <w:tabs>
          <w:tab w:val="num" w:pos="5407"/>
        </w:tabs>
        <w:ind w:left="5407" w:hanging="360"/>
      </w:pPr>
    </w:lvl>
    <w:lvl w:ilvl="8" w:tplc="0409001B" w:tentative="1">
      <w:start w:val="1"/>
      <w:numFmt w:val="lowerRoman"/>
      <w:lvlText w:val="%9."/>
      <w:lvlJc w:val="right"/>
      <w:pPr>
        <w:tabs>
          <w:tab w:val="num" w:pos="6127"/>
        </w:tabs>
        <w:ind w:left="6127" w:hanging="180"/>
      </w:pPr>
    </w:lvl>
  </w:abstractNum>
  <w:abstractNum w:abstractNumId="11" w15:restartNumberingAfterBreak="0">
    <w:nsid w:val="7AE85EB7"/>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16cid:durableId="1655721837">
    <w:abstractNumId w:val="9"/>
  </w:num>
  <w:num w:numId="2" w16cid:durableId="2086299049">
    <w:abstractNumId w:val="7"/>
  </w:num>
  <w:num w:numId="3" w16cid:durableId="1803690219">
    <w:abstractNumId w:val="0"/>
  </w:num>
  <w:num w:numId="4" w16cid:durableId="2059089203">
    <w:abstractNumId w:val="11"/>
  </w:num>
  <w:num w:numId="5" w16cid:durableId="308826910">
    <w:abstractNumId w:val="4"/>
  </w:num>
  <w:num w:numId="6" w16cid:durableId="373969251">
    <w:abstractNumId w:val="5"/>
  </w:num>
  <w:num w:numId="7" w16cid:durableId="1930384885">
    <w:abstractNumId w:val="8"/>
  </w:num>
  <w:num w:numId="8" w16cid:durableId="1163355479">
    <w:abstractNumId w:val="10"/>
  </w:num>
  <w:num w:numId="9" w16cid:durableId="890119320">
    <w:abstractNumId w:val="3"/>
  </w:num>
  <w:num w:numId="10" w16cid:durableId="591671834">
    <w:abstractNumId w:val="6"/>
  </w:num>
  <w:num w:numId="11" w16cid:durableId="1125974357">
    <w:abstractNumId w:val="1"/>
  </w:num>
  <w:num w:numId="12" w16cid:durableId="8363852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28D4"/>
    <w:rsid w:val="00000500"/>
    <w:rsid w:val="0001448D"/>
    <w:rsid w:val="00023F89"/>
    <w:rsid w:val="00033E7E"/>
    <w:rsid w:val="00060E24"/>
    <w:rsid w:val="00061AB6"/>
    <w:rsid w:val="000873E7"/>
    <w:rsid w:val="00092779"/>
    <w:rsid w:val="000931A7"/>
    <w:rsid w:val="000A2188"/>
    <w:rsid w:val="000B0590"/>
    <w:rsid w:val="000B6753"/>
    <w:rsid w:val="000C1966"/>
    <w:rsid w:val="000D1CBA"/>
    <w:rsid w:val="000D2238"/>
    <w:rsid w:val="000D28AD"/>
    <w:rsid w:val="000F19F8"/>
    <w:rsid w:val="00104386"/>
    <w:rsid w:val="001167F4"/>
    <w:rsid w:val="00117D9E"/>
    <w:rsid w:val="001400BE"/>
    <w:rsid w:val="0014213B"/>
    <w:rsid w:val="00150497"/>
    <w:rsid w:val="001578DD"/>
    <w:rsid w:val="001947E9"/>
    <w:rsid w:val="001C7D7E"/>
    <w:rsid w:val="001D1866"/>
    <w:rsid w:val="001E0E04"/>
    <w:rsid w:val="001F1730"/>
    <w:rsid w:val="001F41BF"/>
    <w:rsid w:val="00207E17"/>
    <w:rsid w:val="00225035"/>
    <w:rsid w:val="002524D0"/>
    <w:rsid w:val="0025283A"/>
    <w:rsid w:val="002622A1"/>
    <w:rsid w:val="0029169C"/>
    <w:rsid w:val="00296DEB"/>
    <w:rsid w:val="00297999"/>
    <w:rsid w:val="002A2D2F"/>
    <w:rsid w:val="002B43A2"/>
    <w:rsid w:val="002C79B2"/>
    <w:rsid w:val="002E15FF"/>
    <w:rsid w:val="002E50FA"/>
    <w:rsid w:val="002F3C18"/>
    <w:rsid w:val="00306010"/>
    <w:rsid w:val="00311111"/>
    <w:rsid w:val="003245FD"/>
    <w:rsid w:val="0032659B"/>
    <w:rsid w:val="00332E31"/>
    <w:rsid w:val="00333829"/>
    <w:rsid w:val="00341C8C"/>
    <w:rsid w:val="00345928"/>
    <w:rsid w:val="00363A16"/>
    <w:rsid w:val="00375ECD"/>
    <w:rsid w:val="00386A86"/>
    <w:rsid w:val="0038739D"/>
    <w:rsid w:val="003B1BE4"/>
    <w:rsid w:val="003B7238"/>
    <w:rsid w:val="003C243E"/>
    <w:rsid w:val="003D2579"/>
    <w:rsid w:val="003D6A1A"/>
    <w:rsid w:val="003D7644"/>
    <w:rsid w:val="003E0C73"/>
    <w:rsid w:val="003F267E"/>
    <w:rsid w:val="003F7502"/>
    <w:rsid w:val="004037B8"/>
    <w:rsid w:val="00404D45"/>
    <w:rsid w:val="00416A42"/>
    <w:rsid w:val="0043542D"/>
    <w:rsid w:val="00470175"/>
    <w:rsid w:val="00491F1F"/>
    <w:rsid w:val="004A4779"/>
    <w:rsid w:val="004B60BE"/>
    <w:rsid w:val="004D0C8D"/>
    <w:rsid w:val="004E20A5"/>
    <w:rsid w:val="004F4875"/>
    <w:rsid w:val="00505121"/>
    <w:rsid w:val="00520626"/>
    <w:rsid w:val="005259E5"/>
    <w:rsid w:val="00532314"/>
    <w:rsid w:val="005334AB"/>
    <w:rsid w:val="00544BEC"/>
    <w:rsid w:val="0055073A"/>
    <w:rsid w:val="005653DC"/>
    <w:rsid w:val="00577D86"/>
    <w:rsid w:val="0058202E"/>
    <w:rsid w:val="00584372"/>
    <w:rsid w:val="00592E17"/>
    <w:rsid w:val="005A04BC"/>
    <w:rsid w:val="005A3152"/>
    <w:rsid w:val="005B02AE"/>
    <w:rsid w:val="005F4D5F"/>
    <w:rsid w:val="00614D63"/>
    <w:rsid w:val="0062296B"/>
    <w:rsid w:val="006253F0"/>
    <w:rsid w:val="00637B1B"/>
    <w:rsid w:val="00642D48"/>
    <w:rsid w:val="00646024"/>
    <w:rsid w:val="00653C7E"/>
    <w:rsid w:val="00656DC8"/>
    <w:rsid w:val="00665898"/>
    <w:rsid w:val="00676A4F"/>
    <w:rsid w:val="00691842"/>
    <w:rsid w:val="006973F5"/>
    <w:rsid w:val="006A0688"/>
    <w:rsid w:val="006A398D"/>
    <w:rsid w:val="006A3C63"/>
    <w:rsid w:val="006B6CD5"/>
    <w:rsid w:val="006B7127"/>
    <w:rsid w:val="006C63AF"/>
    <w:rsid w:val="006C7ACB"/>
    <w:rsid w:val="006D4484"/>
    <w:rsid w:val="006E6DEB"/>
    <w:rsid w:val="006E73FE"/>
    <w:rsid w:val="006E79AD"/>
    <w:rsid w:val="007228E3"/>
    <w:rsid w:val="00735A2A"/>
    <w:rsid w:val="00760F68"/>
    <w:rsid w:val="00795CC8"/>
    <w:rsid w:val="007A0FF0"/>
    <w:rsid w:val="007C2058"/>
    <w:rsid w:val="007D3999"/>
    <w:rsid w:val="007F54FD"/>
    <w:rsid w:val="0081387B"/>
    <w:rsid w:val="008212A3"/>
    <w:rsid w:val="00832459"/>
    <w:rsid w:val="00843463"/>
    <w:rsid w:val="00851956"/>
    <w:rsid w:val="0087101C"/>
    <w:rsid w:val="008728EC"/>
    <w:rsid w:val="008736C7"/>
    <w:rsid w:val="0087451B"/>
    <w:rsid w:val="00876AF0"/>
    <w:rsid w:val="00880633"/>
    <w:rsid w:val="0088552B"/>
    <w:rsid w:val="008979AD"/>
    <w:rsid w:val="008A1BA8"/>
    <w:rsid w:val="008A3435"/>
    <w:rsid w:val="008B55B9"/>
    <w:rsid w:val="008C0819"/>
    <w:rsid w:val="008D5598"/>
    <w:rsid w:val="00901A8B"/>
    <w:rsid w:val="00903554"/>
    <w:rsid w:val="00915927"/>
    <w:rsid w:val="009177A1"/>
    <w:rsid w:val="00935AEF"/>
    <w:rsid w:val="00945551"/>
    <w:rsid w:val="00950900"/>
    <w:rsid w:val="00963EDB"/>
    <w:rsid w:val="009669DC"/>
    <w:rsid w:val="00980E85"/>
    <w:rsid w:val="009A2C80"/>
    <w:rsid w:val="009B2EC4"/>
    <w:rsid w:val="009B7A01"/>
    <w:rsid w:val="009D01F6"/>
    <w:rsid w:val="009D0A80"/>
    <w:rsid w:val="009D715E"/>
    <w:rsid w:val="00A05DC2"/>
    <w:rsid w:val="00A32234"/>
    <w:rsid w:val="00A55D49"/>
    <w:rsid w:val="00A6209F"/>
    <w:rsid w:val="00A80E6E"/>
    <w:rsid w:val="00A8386F"/>
    <w:rsid w:val="00AB4208"/>
    <w:rsid w:val="00AF6F66"/>
    <w:rsid w:val="00B06814"/>
    <w:rsid w:val="00B27003"/>
    <w:rsid w:val="00B3079E"/>
    <w:rsid w:val="00B45516"/>
    <w:rsid w:val="00B71324"/>
    <w:rsid w:val="00B839DB"/>
    <w:rsid w:val="00B9115E"/>
    <w:rsid w:val="00BA59FA"/>
    <w:rsid w:val="00BB2631"/>
    <w:rsid w:val="00BB7BE7"/>
    <w:rsid w:val="00BC0991"/>
    <w:rsid w:val="00BC3B4F"/>
    <w:rsid w:val="00BF0374"/>
    <w:rsid w:val="00BF7B35"/>
    <w:rsid w:val="00BF7F66"/>
    <w:rsid w:val="00C02D3A"/>
    <w:rsid w:val="00C21818"/>
    <w:rsid w:val="00C23306"/>
    <w:rsid w:val="00C362BD"/>
    <w:rsid w:val="00C419D4"/>
    <w:rsid w:val="00C423C7"/>
    <w:rsid w:val="00C47C79"/>
    <w:rsid w:val="00C7628C"/>
    <w:rsid w:val="00C81FED"/>
    <w:rsid w:val="00C82005"/>
    <w:rsid w:val="00C86A44"/>
    <w:rsid w:val="00C93B90"/>
    <w:rsid w:val="00CA189D"/>
    <w:rsid w:val="00CB2C35"/>
    <w:rsid w:val="00CB4680"/>
    <w:rsid w:val="00CC3BD6"/>
    <w:rsid w:val="00CC7D4C"/>
    <w:rsid w:val="00CE1D95"/>
    <w:rsid w:val="00D033F4"/>
    <w:rsid w:val="00D05FA4"/>
    <w:rsid w:val="00D603D3"/>
    <w:rsid w:val="00D70CDD"/>
    <w:rsid w:val="00D818A9"/>
    <w:rsid w:val="00D840FA"/>
    <w:rsid w:val="00D97CCD"/>
    <w:rsid w:val="00DC0BE1"/>
    <w:rsid w:val="00DC42A3"/>
    <w:rsid w:val="00DD2BD5"/>
    <w:rsid w:val="00DE355B"/>
    <w:rsid w:val="00DF027C"/>
    <w:rsid w:val="00E228D4"/>
    <w:rsid w:val="00E27694"/>
    <w:rsid w:val="00E5420B"/>
    <w:rsid w:val="00E55674"/>
    <w:rsid w:val="00E70CC9"/>
    <w:rsid w:val="00E867EA"/>
    <w:rsid w:val="00E96E5A"/>
    <w:rsid w:val="00EA625B"/>
    <w:rsid w:val="00EB37D6"/>
    <w:rsid w:val="00EB671E"/>
    <w:rsid w:val="00EC6A07"/>
    <w:rsid w:val="00ED2E6D"/>
    <w:rsid w:val="00ED3CC5"/>
    <w:rsid w:val="00EE0027"/>
    <w:rsid w:val="00EF34FF"/>
    <w:rsid w:val="00F11198"/>
    <w:rsid w:val="00F33F7C"/>
    <w:rsid w:val="00F360CD"/>
    <w:rsid w:val="00F44C68"/>
    <w:rsid w:val="00F54710"/>
    <w:rsid w:val="00F63505"/>
    <w:rsid w:val="00F8754A"/>
    <w:rsid w:val="00FB1516"/>
    <w:rsid w:val="00FB2BF5"/>
    <w:rsid w:val="00FB2EA1"/>
    <w:rsid w:val="00FD43D1"/>
    <w:rsid w:val="00FE3340"/>
    <w:rsid w:val="00FE737E"/>
    <w:rsid w:val="00FF06AC"/>
    <w:rsid w:val="00FF4CDB"/>
    <w:rsid w:val="00FF6C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04C5B2"/>
  <w15:docId w15:val="{FC6C81C1-D04A-4B73-B947-263F88D0F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451B"/>
    <w:rPr>
      <w:sz w:val="24"/>
      <w:lang w:eastAsia="en-US"/>
    </w:rPr>
  </w:style>
  <w:style w:type="paragraph" w:styleId="Heading1">
    <w:name w:val="heading 1"/>
    <w:basedOn w:val="Normal"/>
    <w:next w:val="Normal"/>
    <w:qFormat/>
    <w:rsid w:val="0087451B"/>
    <w:pPr>
      <w:keepNext/>
      <w:jc w:val="right"/>
      <w:outlineLvl w:val="0"/>
    </w:pPr>
    <w:rPr>
      <w:rFonts w:ascii="Perpetua" w:hAnsi="Perpetua"/>
      <w:sz w:val="40"/>
    </w:rPr>
  </w:style>
  <w:style w:type="paragraph" w:styleId="Heading2">
    <w:name w:val="heading 2"/>
    <w:basedOn w:val="Normal"/>
    <w:next w:val="Normal"/>
    <w:qFormat/>
    <w:rsid w:val="0087451B"/>
    <w:pPr>
      <w:keepNext/>
      <w:tabs>
        <w:tab w:val="right" w:pos="9498"/>
      </w:tabs>
      <w:outlineLvl w:val="1"/>
    </w:pPr>
    <w:rPr>
      <w:rFonts w:ascii="Perpetua" w:hAnsi="Perpetua"/>
      <w:sz w:val="18"/>
      <w:u w:val="single"/>
    </w:rPr>
  </w:style>
  <w:style w:type="paragraph" w:styleId="Heading3">
    <w:name w:val="heading 3"/>
    <w:basedOn w:val="Normal"/>
    <w:next w:val="Normal"/>
    <w:qFormat/>
    <w:rsid w:val="0087451B"/>
    <w:pPr>
      <w:keepNext/>
      <w:tabs>
        <w:tab w:val="right" w:pos="9498"/>
      </w:tabs>
      <w:outlineLvl w:val="2"/>
    </w:pPr>
    <w:rPr>
      <w:rFonts w:ascii="Perpetua" w:hAnsi="Perpetua"/>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7451B"/>
    <w:pPr>
      <w:tabs>
        <w:tab w:val="center" w:pos="4153"/>
        <w:tab w:val="right" w:pos="8306"/>
      </w:tabs>
    </w:pPr>
  </w:style>
  <w:style w:type="paragraph" w:styleId="Footer">
    <w:name w:val="footer"/>
    <w:basedOn w:val="Normal"/>
    <w:rsid w:val="0087451B"/>
    <w:pPr>
      <w:tabs>
        <w:tab w:val="center" w:pos="4153"/>
        <w:tab w:val="right" w:pos="8306"/>
      </w:tabs>
    </w:pPr>
  </w:style>
  <w:style w:type="character" w:styleId="PageNumber">
    <w:name w:val="page number"/>
    <w:basedOn w:val="DefaultParagraphFont"/>
    <w:rsid w:val="0087451B"/>
  </w:style>
  <w:style w:type="paragraph" w:styleId="BodyText">
    <w:name w:val="Body Text"/>
    <w:basedOn w:val="Normal"/>
    <w:uiPriority w:val="99"/>
    <w:qFormat/>
    <w:rsid w:val="0087451B"/>
    <w:pPr>
      <w:tabs>
        <w:tab w:val="right" w:pos="9498"/>
      </w:tabs>
      <w:jc w:val="both"/>
      <w:outlineLvl w:val="0"/>
    </w:pPr>
    <w:rPr>
      <w:rFonts w:ascii="Perpetua" w:hAnsi="Perpetua"/>
    </w:rPr>
  </w:style>
  <w:style w:type="paragraph" w:styleId="ListParagraph">
    <w:name w:val="List Paragraph"/>
    <w:basedOn w:val="Normal"/>
    <w:uiPriority w:val="34"/>
    <w:qFormat/>
    <w:rsid w:val="008B55B9"/>
    <w:pPr>
      <w:ind w:left="720"/>
      <w:contextualSpacing/>
    </w:pPr>
    <w:rPr>
      <w:szCs w:val="24"/>
    </w:rPr>
  </w:style>
  <w:style w:type="paragraph" w:styleId="FootnoteText">
    <w:name w:val="footnote text"/>
    <w:basedOn w:val="Normal"/>
    <w:link w:val="FootnoteTextChar"/>
    <w:rsid w:val="006A398D"/>
    <w:rPr>
      <w:sz w:val="20"/>
    </w:rPr>
  </w:style>
  <w:style w:type="character" w:customStyle="1" w:styleId="FootnoteTextChar">
    <w:name w:val="Footnote Text Char"/>
    <w:basedOn w:val="DefaultParagraphFont"/>
    <w:link w:val="FootnoteText"/>
    <w:rsid w:val="006A398D"/>
    <w:rPr>
      <w:lang w:eastAsia="en-US"/>
    </w:rPr>
  </w:style>
  <w:style w:type="character" w:styleId="FootnoteReference">
    <w:name w:val="footnote reference"/>
    <w:basedOn w:val="DefaultParagraphFont"/>
    <w:rsid w:val="006A398D"/>
    <w:rPr>
      <w:vertAlign w:val="superscript"/>
    </w:rPr>
  </w:style>
  <w:style w:type="character" w:styleId="Hyperlink">
    <w:name w:val="Hyperlink"/>
    <w:basedOn w:val="DefaultParagraphFont"/>
    <w:rsid w:val="003D6A1A"/>
    <w:rPr>
      <w:color w:val="0000FF"/>
      <w:u w:val="single"/>
    </w:rPr>
  </w:style>
  <w:style w:type="paragraph" w:customStyle="1" w:styleId="Citations">
    <w:name w:val="Citations"/>
    <w:basedOn w:val="Normal"/>
    <w:rsid w:val="00306010"/>
    <w:pPr>
      <w:tabs>
        <w:tab w:val="left" w:pos="567"/>
        <w:tab w:val="left" w:pos="1134"/>
        <w:tab w:val="left" w:pos="1701"/>
        <w:tab w:val="left" w:pos="2268"/>
      </w:tabs>
      <w:spacing w:after="300"/>
      <w:ind w:left="567"/>
      <w:jc w:val="both"/>
    </w:pPr>
    <w:rPr>
      <w:rFonts w:ascii="Arial" w:eastAsiaTheme="minorEastAsia" w:hAnsi="Arial" w:cs="Arial"/>
      <w:sz w:val="20"/>
      <w:lang w:eastAsia="en-GB"/>
    </w:rPr>
  </w:style>
  <w:style w:type="character" w:customStyle="1" w:styleId="UnresolvedMention1">
    <w:name w:val="Unresolved Mention1"/>
    <w:basedOn w:val="DefaultParagraphFont"/>
    <w:uiPriority w:val="99"/>
    <w:semiHidden/>
    <w:unhideWhenUsed/>
    <w:rsid w:val="004B60BE"/>
    <w:rPr>
      <w:color w:val="605E5C"/>
      <w:shd w:val="clear" w:color="auto" w:fill="E1DFDD"/>
    </w:rPr>
  </w:style>
  <w:style w:type="character" w:styleId="UnresolvedMention">
    <w:name w:val="Unresolved Mention"/>
    <w:basedOn w:val="DefaultParagraphFont"/>
    <w:uiPriority w:val="99"/>
    <w:semiHidden/>
    <w:unhideWhenUsed/>
    <w:rsid w:val="002A2D2F"/>
    <w:rPr>
      <w:color w:val="605E5C"/>
      <w:shd w:val="clear" w:color="auto" w:fill="E1DFDD"/>
    </w:rPr>
  </w:style>
  <w:style w:type="paragraph" w:styleId="Revision">
    <w:name w:val="Revision"/>
    <w:hidden/>
    <w:uiPriority w:val="99"/>
    <w:semiHidden/>
    <w:rsid w:val="003D2579"/>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6118667">
      <w:bodyDiv w:val="1"/>
      <w:marLeft w:val="0"/>
      <w:marRight w:val="0"/>
      <w:marTop w:val="0"/>
      <w:marBottom w:val="0"/>
      <w:divBdr>
        <w:top w:val="none" w:sz="0" w:space="0" w:color="auto"/>
        <w:left w:val="none" w:sz="0" w:space="0" w:color="auto"/>
        <w:bottom w:val="none" w:sz="0" w:space="0" w:color="auto"/>
        <w:right w:val="none" w:sz="0" w:space="0" w:color="auto"/>
      </w:divBdr>
      <w:divsChild>
        <w:div w:id="559442561">
          <w:marLeft w:val="0"/>
          <w:marRight w:val="0"/>
          <w:marTop w:val="0"/>
          <w:marBottom w:val="0"/>
          <w:divBdr>
            <w:top w:val="none" w:sz="0" w:space="0" w:color="auto"/>
            <w:left w:val="none" w:sz="0" w:space="0" w:color="auto"/>
            <w:bottom w:val="none" w:sz="0" w:space="0" w:color="auto"/>
            <w:right w:val="none" w:sz="0" w:space="0" w:color="auto"/>
          </w:divBdr>
          <w:divsChild>
            <w:div w:id="319503687">
              <w:marLeft w:val="0"/>
              <w:marRight w:val="0"/>
              <w:marTop w:val="0"/>
              <w:marBottom w:val="0"/>
              <w:divBdr>
                <w:top w:val="none" w:sz="0" w:space="0" w:color="auto"/>
                <w:left w:val="none" w:sz="0" w:space="0" w:color="auto"/>
                <w:bottom w:val="none" w:sz="0" w:space="0" w:color="auto"/>
                <w:right w:val="none" w:sz="0" w:space="0" w:color="auto"/>
              </w:divBdr>
              <w:divsChild>
                <w:div w:id="600529093">
                  <w:marLeft w:val="0"/>
                  <w:marRight w:val="0"/>
                  <w:marTop w:val="0"/>
                  <w:marBottom w:val="0"/>
                  <w:divBdr>
                    <w:top w:val="none" w:sz="0" w:space="0" w:color="auto"/>
                    <w:left w:val="none" w:sz="0" w:space="0" w:color="auto"/>
                    <w:bottom w:val="none" w:sz="0" w:space="0" w:color="auto"/>
                    <w:right w:val="none" w:sz="0" w:space="0" w:color="auto"/>
                  </w:divBdr>
                </w:div>
              </w:divsChild>
            </w:div>
            <w:div w:id="172307904">
              <w:marLeft w:val="0"/>
              <w:marRight w:val="0"/>
              <w:marTop w:val="0"/>
              <w:marBottom w:val="0"/>
              <w:divBdr>
                <w:top w:val="none" w:sz="0" w:space="0" w:color="auto"/>
                <w:left w:val="none" w:sz="0" w:space="0" w:color="auto"/>
                <w:bottom w:val="none" w:sz="0" w:space="0" w:color="auto"/>
                <w:right w:val="none" w:sz="0" w:space="0" w:color="auto"/>
              </w:divBdr>
              <w:divsChild>
                <w:div w:id="1880900473">
                  <w:marLeft w:val="0"/>
                  <w:marRight w:val="0"/>
                  <w:marTop w:val="0"/>
                  <w:marBottom w:val="0"/>
                  <w:divBdr>
                    <w:top w:val="none" w:sz="0" w:space="0" w:color="auto"/>
                    <w:left w:val="none" w:sz="0" w:space="0" w:color="auto"/>
                    <w:bottom w:val="none" w:sz="0" w:space="0" w:color="auto"/>
                    <w:right w:val="none" w:sz="0" w:space="0" w:color="auto"/>
                  </w:divBdr>
                </w:div>
              </w:divsChild>
            </w:div>
            <w:div w:id="592128336">
              <w:marLeft w:val="0"/>
              <w:marRight w:val="0"/>
              <w:marTop w:val="0"/>
              <w:marBottom w:val="0"/>
              <w:divBdr>
                <w:top w:val="none" w:sz="0" w:space="0" w:color="auto"/>
                <w:left w:val="none" w:sz="0" w:space="0" w:color="auto"/>
                <w:bottom w:val="none" w:sz="0" w:space="0" w:color="auto"/>
                <w:right w:val="none" w:sz="0" w:space="0" w:color="auto"/>
              </w:divBdr>
              <w:divsChild>
                <w:div w:id="570963866">
                  <w:marLeft w:val="0"/>
                  <w:marRight w:val="0"/>
                  <w:marTop w:val="0"/>
                  <w:marBottom w:val="0"/>
                  <w:divBdr>
                    <w:top w:val="none" w:sz="0" w:space="0" w:color="auto"/>
                    <w:left w:val="none" w:sz="0" w:space="0" w:color="auto"/>
                    <w:bottom w:val="none" w:sz="0" w:space="0" w:color="auto"/>
                    <w:right w:val="none" w:sz="0" w:space="0" w:color="auto"/>
                  </w:divBdr>
                </w:div>
              </w:divsChild>
            </w:div>
            <w:div w:id="371997478">
              <w:marLeft w:val="0"/>
              <w:marRight w:val="0"/>
              <w:marTop w:val="0"/>
              <w:marBottom w:val="0"/>
              <w:divBdr>
                <w:top w:val="none" w:sz="0" w:space="0" w:color="auto"/>
                <w:left w:val="none" w:sz="0" w:space="0" w:color="auto"/>
                <w:bottom w:val="none" w:sz="0" w:space="0" w:color="auto"/>
                <w:right w:val="none" w:sz="0" w:space="0" w:color="auto"/>
              </w:divBdr>
              <w:divsChild>
                <w:div w:id="1938362807">
                  <w:marLeft w:val="0"/>
                  <w:marRight w:val="0"/>
                  <w:marTop w:val="0"/>
                  <w:marBottom w:val="0"/>
                  <w:divBdr>
                    <w:top w:val="none" w:sz="0" w:space="0" w:color="auto"/>
                    <w:left w:val="none" w:sz="0" w:space="0" w:color="auto"/>
                    <w:bottom w:val="none" w:sz="0" w:space="0" w:color="auto"/>
                    <w:right w:val="none" w:sz="0" w:space="0" w:color="auto"/>
                  </w:divBdr>
                </w:div>
              </w:divsChild>
            </w:div>
            <w:div w:id="1491022726">
              <w:marLeft w:val="0"/>
              <w:marRight w:val="0"/>
              <w:marTop w:val="0"/>
              <w:marBottom w:val="0"/>
              <w:divBdr>
                <w:top w:val="none" w:sz="0" w:space="0" w:color="auto"/>
                <w:left w:val="none" w:sz="0" w:space="0" w:color="auto"/>
                <w:bottom w:val="none" w:sz="0" w:space="0" w:color="auto"/>
                <w:right w:val="none" w:sz="0" w:space="0" w:color="auto"/>
              </w:divBdr>
              <w:divsChild>
                <w:div w:id="742534743">
                  <w:marLeft w:val="0"/>
                  <w:marRight w:val="0"/>
                  <w:marTop w:val="0"/>
                  <w:marBottom w:val="0"/>
                  <w:divBdr>
                    <w:top w:val="none" w:sz="0" w:space="0" w:color="auto"/>
                    <w:left w:val="none" w:sz="0" w:space="0" w:color="auto"/>
                    <w:bottom w:val="none" w:sz="0" w:space="0" w:color="auto"/>
                    <w:right w:val="none" w:sz="0" w:space="0" w:color="auto"/>
                  </w:divBdr>
                </w:div>
              </w:divsChild>
            </w:div>
            <w:div w:id="1351831992">
              <w:marLeft w:val="0"/>
              <w:marRight w:val="0"/>
              <w:marTop w:val="0"/>
              <w:marBottom w:val="0"/>
              <w:divBdr>
                <w:top w:val="none" w:sz="0" w:space="0" w:color="auto"/>
                <w:left w:val="none" w:sz="0" w:space="0" w:color="auto"/>
                <w:bottom w:val="none" w:sz="0" w:space="0" w:color="auto"/>
                <w:right w:val="none" w:sz="0" w:space="0" w:color="auto"/>
              </w:divBdr>
              <w:divsChild>
                <w:div w:id="1895969686">
                  <w:marLeft w:val="0"/>
                  <w:marRight w:val="0"/>
                  <w:marTop w:val="0"/>
                  <w:marBottom w:val="0"/>
                  <w:divBdr>
                    <w:top w:val="none" w:sz="0" w:space="0" w:color="auto"/>
                    <w:left w:val="none" w:sz="0" w:space="0" w:color="auto"/>
                    <w:bottom w:val="none" w:sz="0" w:space="0" w:color="auto"/>
                    <w:right w:val="none" w:sz="0" w:space="0" w:color="auto"/>
                  </w:divBdr>
                  <w:divsChild>
                    <w:div w:id="1607468315">
                      <w:marLeft w:val="0"/>
                      <w:marRight w:val="0"/>
                      <w:marTop w:val="0"/>
                      <w:marBottom w:val="0"/>
                      <w:divBdr>
                        <w:top w:val="none" w:sz="0" w:space="0" w:color="auto"/>
                        <w:left w:val="none" w:sz="0" w:space="0" w:color="auto"/>
                        <w:bottom w:val="none" w:sz="0" w:space="0" w:color="auto"/>
                        <w:right w:val="none" w:sz="0" w:space="0" w:color="auto"/>
                      </w:divBdr>
                    </w:div>
                  </w:divsChild>
                </w:div>
                <w:div w:id="1584681903">
                  <w:marLeft w:val="0"/>
                  <w:marRight w:val="0"/>
                  <w:marTop w:val="0"/>
                  <w:marBottom w:val="0"/>
                  <w:divBdr>
                    <w:top w:val="none" w:sz="0" w:space="0" w:color="auto"/>
                    <w:left w:val="none" w:sz="0" w:space="0" w:color="auto"/>
                    <w:bottom w:val="none" w:sz="0" w:space="0" w:color="auto"/>
                    <w:right w:val="none" w:sz="0" w:space="0" w:color="auto"/>
                  </w:divBdr>
                  <w:divsChild>
                    <w:div w:id="435639151">
                      <w:marLeft w:val="0"/>
                      <w:marRight w:val="0"/>
                      <w:marTop w:val="0"/>
                      <w:marBottom w:val="0"/>
                      <w:divBdr>
                        <w:top w:val="none" w:sz="0" w:space="0" w:color="auto"/>
                        <w:left w:val="none" w:sz="0" w:space="0" w:color="auto"/>
                        <w:bottom w:val="none" w:sz="0" w:space="0" w:color="auto"/>
                        <w:right w:val="none" w:sz="0" w:space="0" w:color="auto"/>
                      </w:divBdr>
                    </w:div>
                  </w:divsChild>
                </w:div>
                <w:div w:id="1958949014">
                  <w:marLeft w:val="0"/>
                  <w:marRight w:val="0"/>
                  <w:marTop w:val="0"/>
                  <w:marBottom w:val="0"/>
                  <w:divBdr>
                    <w:top w:val="none" w:sz="0" w:space="0" w:color="auto"/>
                    <w:left w:val="none" w:sz="0" w:space="0" w:color="auto"/>
                    <w:bottom w:val="none" w:sz="0" w:space="0" w:color="auto"/>
                    <w:right w:val="none" w:sz="0" w:space="0" w:color="auto"/>
                  </w:divBdr>
                  <w:divsChild>
                    <w:div w:id="113254725">
                      <w:marLeft w:val="0"/>
                      <w:marRight w:val="0"/>
                      <w:marTop w:val="0"/>
                      <w:marBottom w:val="0"/>
                      <w:divBdr>
                        <w:top w:val="none" w:sz="0" w:space="0" w:color="auto"/>
                        <w:left w:val="none" w:sz="0" w:space="0" w:color="auto"/>
                        <w:bottom w:val="none" w:sz="0" w:space="0" w:color="auto"/>
                        <w:right w:val="none" w:sz="0" w:space="0" w:color="auto"/>
                      </w:divBdr>
                    </w:div>
                  </w:divsChild>
                </w:div>
                <w:div w:id="1250043059">
                  <w:marLeft w:val="0"/>
                  <w:marRight w:val="0"/>
                  <w:marTop w:val="0"/>
                  <w:marBottom w:val="0"/>
                  <w:divBdr>
                    <w:top w:val="none" w:sz="0" w:space="0" w:color="auto"/>
                    <w:left w:val="none" w:sz="0" w:space="0" w:color="auto"/>
                    <w:bottom w:val="none" w:sz="0" w:space="0" w:color="auto"/>
                    <w:right w:val="none" w:sz="0" w:space="0" w:color="auto"/>
                  </w:divBdr>
                  <w:divsChild>
                    <w:div w:id="2078818604">
                      <w:marLeft w:val="0"/>
                      <w:marRight w:val="0"/>
                      <w:marTop w:val="0"/>
                      <w:marBottom w:val="0"/>
                      <w:divBdr>
                        <w:top w:val="none" w:sz="0" w:space="0" w:color="auto"/>
                        <w:left w:val="none" w:sz="0" w:space="0" w:color="auto"/>
                        <w:bottom w:val="none" w:sz="0" w:space="0" w:color="auto"/>
                        <w:right w:val="none" w:sz="0" w:space="0" w:color="auto"/>
                      </w:divBdr>
                    </w:div>
                  </w:divsChild>
                </w:div>
                <w:div w:id="399518451">
                  <w:marLeft w:val="0"/>
                  <w:marRight w:val="0"/>
                  <w:marTop w:val="0"/>
                  <w:marBottom w:val="0"/>
                  <w:divBdr>
                    <w:top w:val="none" w:sz="0" w:space="0" w:color="auto"/>
                    <w:left w:val="none" w:sz="0" w:space="0" w:color="auto"/>
                    <w:bottom w:val="none" w:sz="0" w:space="0" w:color="auto"/>
                    <w:right w:val="none" w:sz="0" w:space="0" w:color="auto"/>
                  </w:divBdr>
                  <w:divsChild>
                    <w:div w:id="2116438118">
                      <w:marLeft w:val="0"/>
                      <w:marRight w:val="0"/>
                      <w:marTop w:val="0"/>
                      <w:marBottom w:val="0"/>
                      <w:divBdr>
                        <w:top w:val="none" w:sz="0" w:space="0" w:color="auto"/>
                        <w:left w:val="none" w:sz="0" w:space="0" w:color="auto"/>
                        <w:bottom w:val="none" w:sz="0" w:space="0" w:color="auto"/>
                        <w:right w:val="none" w:sz="0" w:space="0" w:color="auto"/>
                      </w:divBdr>
                    </w:div>
                  </w:divsChild>
                </w:div>
                <w:div w:id="706415559">
                  <w:marLeft w:val="0"/>
                  <w:marRight w:val="0"/>
                  <w:marTop w:val="0"/>
                  <w:marBottom w:val="0"/>
                  <w:divBdr>
                    <w:top w:val="none" w:sz="0" w:space="0" w:color="auto"/>
                    <w:left w:val="none" w:sz="0" w:space="0" w:color="auto"/>
                    <w:bottom w:val="none" w:sz="0" w:space="0" w:color="auto"/>
                    <w:right w:val="none" w:sz="0" w:space="0" w:color="auto"/>
                  </w:divBdr>
                  <w:divsChild>
                    <w:div w:id="1122573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19201">
              <w:marLeft w:val="0"/>
              <w:marRight w:val="0"/>
              <w:marTop w:val="0"/>
              <w:marBottom w:val="0"/>
              <w:divBdr>
                <w:top w:val="none" w:sz="0" w:space="0" w:color="auto"/>
                <w:left w:val="none" w:sz="0" w:space="0" w:color="auto"/>
                <w:bottom w:val="none" w:sz="0" w:space="0" w:color="auto"/>
                <w:right w:val="none" w:sz="0" w:space="0" w:color="auto"/>
              </w:divBdr>
              <w:divsChild>
                <w:div w:id="487793716">
                  <w:marLeft w:val="0"/>
                  <w:marRight w:val="0"/>
                  <w:marTop w:val="0"/>
                  <w:marBottom w:val="0"/>
                  <w:divBdr>
                    <w:top w:val="none" w:sz="0" w:space="0" w:color="auto"/>
                    <w:left w:val="none" w:sz="0" w:space="0" w:color="auto"/>
                    <w:bottom w:val="none" w:sz="0" w:space="0" w:color="auto"/>
                    <w:right w:val="none" w:sz="0" w:space="0" w:color="auto"/>
                  </w:divBdr>
                </w:div>
              </w:divsChild>
            </w:div>
            <w:div w:id="1446193489">
              <w:marLeft w:val="0"/>
              <w:marRight w:val="0"/>
              <w:marTop w:val="0"/>
              <w:marBottom w:val="0"/>
              <w:divBdr>
                <w:top w:val="none" w:sz="0" w:space="0" w:color="auto"/>
                <w:left w:val="none" w:sz="0" w:space="0" w:color="auto"/>
                <w:bottom w:val="none" w:sz="0" w:space="0" w:color="auto"/>
                <w:right w:val="none" w:sz="0" w:space="0" w:color="auto"/>
              </w:divBdr>
              <w:divsChild>
                <w:div w:id="1342122713">
                  <w:marLeft w:val="0"/>
                  <w:marRight w:val="0"/>
                  <w:marTop w:val="0"/>
                  <w:marBottom w:val="0"/>
                  <w:divBdr>
                    <w:top w:val="none" w:sz="0" w:space="0" w:color="auto"/>
                    <w:left w:val="none" w:sz="0" w:space="0" w:color="auto"/>
                    <w:bottom w:val="none" w:sz="0" w:space="0" w:color="auto"/>
                    <w:right w:val="none" w:sz="0" w:space="0" w:color="auto"/>
                  </w:divBdr>
                </w:div>
              </w:divsChild>
            </w:div>
            <w:div w:id="843399141">
              <w:marLeft w:val="0"/>
              <w:marRight w:val="0"/>
              <w:marTop w:val="0"/>
              <w:marBottom w:val="0"/>
              <w:divBdr>
                <w:top w:val="none" w:sz="0" w:space="0" w:color="auto"/>
                <w:left w:val="none" w:sz="0" w:space="0" w:color="auto"/>
                <w:bottom w:val="none" w:sz="0" w:space="0" w:color="auto"/>
                <w:right w:val="none" w:sz="0" w:space="0" w:color="auto"/>
              </w:divBdr>
              <w:divsChild>
                <w:div w:id="577208063">
                  <w:marLeft w:val="0"/>
                  <w:marRight w:val="0"/>
                  <w:marTop w:val="0"/>
                  <w:marBottom w:val="0"/>
                  <w:divBdr>
                    <w:top w:val="none" w:sz="0" w:space="0" w:color="auto"/>
                    <w:left w:val="none" w:sz="0" w:space="0" w:color="auto"/>
                    <w:bottom w:val="none" w:sz="0" w:space="0" w:color="auto"/>
                    <w:right w:val="none" w:sz="0" w:space="0" w:color="auto"/>
                  </w:divBdr>
                </w:div>
              </w:divsChild>
            </w:div>
            <w:div w:id="1473864895">
              <w:marLeft w:val="0"/>
              <w:marRight w:val="0"/>
              <w:marTop w:val="0"/>
              <w:marBottom w:val="0"/>
              <w:divBdr>
                <w:top w:val="none" w:sz="0" w:space="0" w:color="auto"/>
                <w:left w:val="none" w:sz="0" w:space="0" w:color="auto"/>
                <w:bottom w:val="none" w:sz="0" w:space="0" w:color="auto"/>
                <w:right w:val="none" w:sz="0" w:space="0" w:color="auto"/>
              </w:divBdr>
              <w:divsChild>
                <w:div w:id="1316640353">
                  <w:marLeft w:val="0"/>
                  <w:marRight w:val="0"/>
                  <w:marTop w:val="0"/>
                  <w:marBottom w:val="0"/>
                  <w:divBdr>
                    <w:top w:val="none" w:sz="0" w:space="0" w:color="auto"/>
                    <w:left w:val="none" w:sz="0" w:space="0" w:color="auto"/>
                    <w:bottom w:val="none" w:sz="0" w:space="0" w:color="auto"/>
                    <w:right w:val="none" w:sz="0" w:space="0" w:color="auto"/>
                  </w:divBdr>
                </w:div>
              </w:divsChild>
            </w:div>
            <w:div w:id="1645695140">
              <w:marLeft w:val="0"/>
              <w:marRight w:val="0"/>
              <w:marTop w:val="0"/>
              <w:marBottom w:val="0"/>
              <w:divBdr>
                <w:top w:val="none" w:sz="0" w:space="0" w:color="auto"/>
                <w:left w:val="none" w:sz="0" w:space="0" w:color="auto"/>
                <w:bottom w:val="none" w:sz="0" w:space="0" w:color="auto"/>
                <w:right w:val="none" w:sz="0" w:space="0" w:color="auto"/>
              </w:divBdr>
              <w:divsChild>
                <w:div w:id="364408148">
                  <w:marLeft w:val="0"/>
                  <w:marRight w:val="0"/>
                  <w:marTop w:val="0"/>
                  <w:marBottom w:val="0"/>
                  <w:divBdr>
                    <w:top w:val="none" w:sz="0" w:space="0" w:color="auto"/>
                    <w:left w:val="none" w:sz="0" w:space="0" w:color="auto"/>
                    <w:bottom w:val="none" w:sz="0" w:space="0" w:color="auto"/>
                    <w:right w:val="none" w:sz="0" w:space="0" w:color="auto"/>
                  </w:divBdr>
                </w:div>
              </w:divsChild>
            </w:div>
            <w:div w:id="1578126582">
              <w:marLeft w:val="0"/>
              <w:marRight w:val="0"/>
              <w:marTop w:val="0"/>
              <w:marBottom w:val="0"/>
              <w:divBdr>
                <w:top w:val="none" w:sz="0" w:space="0" w:color="auto"/>
                <w:left w:val="none" w:sz="0" w:space="0" w:color="auto"/>
                <w:bottom w:val="none" w:sz="0" w:space="0" w:color="auto"/>
                <w:right w:val="none" w:sz="0" w:space="0" w:color="auto"/>
              </w:divBdr>
              <w:divsChild>
                <w:div w:id="1038580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assets.publishing.service.gov.uk/media/672b7189abb279b2de1e8c59/AG_s_Legal_Risk_Guidance_2024.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Letters%20&amp;%20Faxes\Brick%20Court%20Fax%20-%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23b5e08-ba8c-4bd7-b20e-cbe7492a46ba">
      <Terms xmlns="http://schemas.microsoft.com/office/infopath/2007/PartnerControls"/>
    </lcf76f155ced4ddcb4097134ff3c332f>
    <TaxCatchAll xmlns="47bbf43c-25fc-4f07-bd62-31a705b9da0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971894E759C54CA62FDFBAEA51422C" ma:contentTypeVersion="13" ma:contentTypeDescription="Create a new document." ma:contentTypeScope="" ma:versionID="78639c87937801e53b4fc773e18bbb64">
  <xsd:schema xmlns:xsd="http://www.w3.org/2001/XMLSchema" xmlns:xs="http://www.w3.org/2001/XMLSchema" xmlns:p="http://schemas.microsoft.com/office/2006/metadata/properties" xmlns:ns2="b23b5e08-ba8c-4bd7-b20e-cbe7492a46ba" xmlns:ns3="47bbf43c-25fc-4f07-bd62-31a705b9da0f" targetNamespace="http://schemas.microsoft.com/office/2006/metadata/properties" ma:root="true" ma:fieldsID="c74183b2a3ff80a52ddea92a106f23b7" ns2:_="" ns3:_="">
    <xsd:import namespace="b23b5e08-ba8c-4bd7-b20e-cbe7492a46ba"/>
    <xsd:import namespace="47bbf43c-25fc-4f07-bd62-31a705b9da0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3b5e08-ba8c-4bd7-b20e-cbe7492a46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4e5a3e9-c3e2-4c28-a279-a208435469ef"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bbf43c-25fc-4f07-bd62-31a705b9da0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bf782e3-0666-4f55-ab28-479151f8830a}" ma:internalName="TaxCatchAll" ma:showField="CatchAllData" ma:web="47bbf43c-25fc-4f07-bd62-31a705b9da0f">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1AEB3E-22EC-407E-9327-6463CDB21BFE}">
  <ds:schemaRefs>
    <ds:schemaRef ds:uri="http://schemas.microsoft.com/office/2006/metadata/properties"/>
    <ds:schemaRef ds:uri="http://schemas.microsoft.com/office/infopath/2007/PartnerControls"/>
    <ds:schemaRef ds:uri="b23b5e08-ba8c-4bd7-b20e-cbe7492a46ba"/>
    <ds:schemaRef ds:uri="47bbf43c-25fc-4f07-bd62-31a705b9da0f"/>
  </ds:schemaRefs>
</ds:datastoreItem>
</file>

<file path=customXml/itemProps2.xml><?xml version="1.0" encoding="utf-8"?>
<ds:datastoreItem xmlns:ds="http://schemas.openxmlformats.org/officeDocument/2006/customXml" ds:itemID="{245446F4-2107-4B0F-BA28-BBA5AB603E00}">
  <ds:schemaRefs>
    <ds:schemaRef ds:uri="http://schemas.openxmlformats.org/officeDocument/2006/bibliography"/>
  </ds:schemaRefs>
</ds:datastoreItem>
</file>

<file path=customXml/itemProps3.xml><?xml version="1.0" encoding="utf-8"?>
<ds:datastoreItem xmlns:ds="http://schemas.openxmlformats.org/officeDocument/2006/customXml" ds:itemID="{E5F85331-8859-4B99-914D-F1C78339E1A4}">
  <ds:schemaRefs>
    <ds:schemaRef ds:uri="http://schemas.microsoft.com/sharepoint/v3/contenttype/forms"/>
  </ds:schemaRefs>
</ds:datastoreItem>
</file>

<file path=customXml/itemProps4.xml><?xml version="1.0" encoding="utf-8"?>
<ds:datastoreItem xmlns:ds="http://schemas.openxmlformats.org/officeDocument/2006/customXml" ds:itemID="{8D473259-E8D1-4207-BC3F-42FBEF236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3b5e08-ba8c-4bd7-b20e-cbe7492a46ba"/>
    <ds:schemaRef ds:uri="47bbf43c-25fc-4f07-bd62-31a705b9da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Brick Court Fax - Template.dot</Template>
  <TotalTime>22</TotalTime>
  <Pages>11</Pages>
  <Words>2886</Words>
  <Characters>16452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BRICK COURT</vt:lpstr>
    </vt:vector>
  </TitlesOfParts>
  <Company>Brick Court</Company>
  <LinksUpToDate>false</LinksUpToDate>
  <CharactersWithSpaces>19300</CharactersWithSpaces>
  <SharedDoc>false</SharedDoc>
  <HLinks>
    <vt:vector size="6" baseType="variant">
      <vt:variant>
        <vt:i4>6684736</vt:i4>
      </vt:variant>
      <vt:variant>
        <vt:i4>0</vt:i4>
      </vt:variant>
      <vt:variant>
        <vt:i4>0</vt:i4>
      </vt:variant>
      <vt:variant>
        <vt:i4>5</vt:i4>
      </vt:variant>
      <vt:variant>
        <vt:lpwstr>mailto:Malcolm.Birdling@brickcourt.co.uk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BRICK COURT</dc:title>
  <dc:creator>Dr Malcolm Birdling</dc:creator>
  <cp:lastModifiedBy>Nicole Chen</cp:lastModifiedBy>
  <cp:revision>8</cp:revision>
  <cp:lastPrinted>2014-04-30T12:40:00Z</cp:lastPrinted>
  <dcterms:created xsi:type="dcterms:W3CDTF">2026-04-15T09:00:00Z</dcterms:created>
  <dcterms:modified xsi:type="dcterms:W3CDTF">2026-04-15T13:02:00Z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0x010100B8971894E759C54CA62FDFBAEA51422C</vt:lpwstr>
  </property>
  <property fmtid="{D5CDD505-2E9C-101B-9397-08002B2CF9AE}" pid="3" name="MediaServiceImageTags">
    <vt:lpwstr/>
  </property>
</Properties>
</file>